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306C9" w14:textId="77777777" w:rsidR="00421AC5" w:rsidRPr="002E2AB9" w:rsidRDefault="00421AC5" w:rsidP="00421AC5">
      <w:pPr>
        <w:spacing w:before="120" w:after="120" w:line="240" w:lineRule="auto"/>
        <w:rPr>
          <w:rFonts w:eastAsia="MS Mincho" w:cs="Times New Roman"/>
          <w:b/>
          <w:sz w:val="24"/>
          <w:szCs w:val="24"/>
          <w:lang w:val="en-US"/>
        </w:rPr>
      </w:pPr>
    </w:p>
    <w:p w14:paraId="35A82AE8" w14:textId="77777777" w:rsidR="00421AC5" w:rsidRPr="002E2AB9" w:rsidRDefault="00421AC5" w:rsidP="00421AC5">
      <w:pPr>
        <w:spacing w:before="120" w:after="120" w:line="240" w:lineRule="auto"/>
        <w:rPr>
          <w:rFonts w:eastAsia="MS Mincho" w:cs="Times New Roman"/>
          <w:b/>
          <w:sz w:val="24"/>
          <w:szCs w:val="24"/>
          <w:lang w:val="en-US"/>
        </w:rPr>
      </w:pPr>
    </w:p>
    <w:p w14:paraId="0F82D09D" w14:textId="77777777" w:rsidR="00421AC5" w:rsidRPr="002E2AB9" w:rsidRDefault="00421AC5" w:rsidP="00421AC5">
      <w:pPr>
        <w:spacing w:before="120" w:after="120" w:line="240" w:lineRule="auto"/>
        <w:rPr>
          <w:rFonts w:eastAsia="MS Mincho" w:cs="Times New Roman"/>
          <w:b/>
          <w:sz w:val="24"/>
          <w:szCs w:val="24"/>
          <w:lang w:val="en-US"/>
        </w:rPr>
      </w:pPr>
    </w:p>
    <w:p w14:paraId="2889D1B5" w14:textId="1D15F4AC" w:rsidR="00421AC5" w:rsidRPr="002E2AB9" w:rsidRDefault="0096663D" w:rsidP="00421AC5">
      <w:pPr>
        <w:spacing w:before="120" w:after="120" w:line="240" w:lineRule="auto"/>
        <w:rPr>
          <w:rFonts w:eastAsia="MS Mincho" w:cs="Times New Roman"/>
          <w:b/>
          <w:sz w:val="24"/>
          <w:szCs w:val="24"/>
          <w:lang w:val="en-US"/>
        </w:rPr>
      </w:pPr>
      <w:r w:rsidRPr="0054733F">
        <w:rPr>
          <w:noProof/>
          <w:lang w:eastAsia="en-GB"/>
        </w:rPr>
        <w:drawing>
          <wp:anchor distT="0" distB="0" distL="114300" distR="114300" simplePos="0" relativeHeight="251659264" behindDoc="0" locked="0" layoutInCell="1" allowOverlap="1" wp14:anchorId="448E68A4" wp14:editId="4992C939">
            <wp:simplePos x="0" y="0"/>
            <wp:positionH relativeFrom="column">
              <wp:posOffset>2364740</wp:posOffset>
            </wp:positionH>
            <wp:positionV relativeFrom="paragraph">
              <wp:posOffset>150495</wp:posOffset>
            </wp:positionV>
            <wp:extent cx="942975" cy="509905"/>
            <wp:effectExtent l="0" t="0" r="9525" b="4445"/>
            <wp:wrapSquare wrapText="bothSides"/>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EC8D9" w14:textId="515DF893" w:rsidR="00421AC5" w:rsidRPr="002E2AB9" w:rsidRDefault="00421AC5" w:rsidP="00421AC5">
      <w:pPr>
        <w:spacing w:before="120" w:after="120" w:line="240" w:lineRule="auto"/>
        <w:jc w:val="center"/>
        <w:rPr>
          <w:rFonts w:eastAsia="MS Mincho" w:cs="Times New Roman"/>
          <w:b/>
          <w:sz w:val="24"/>
          <w:szCs w:val="24"/>
          <w:lang w:val="en-US"/>
        </w:rPr>
      </w:pPr>
    </w:p>
    <w:p w14:paraId="65ABFA3B" w14:textId="77777777" w:rsidR="00421AC5" w:rsidRPr="002E2AB9" w:rsidRDefault="00421AC5" w:rsidP="00421AC5">
      <w:pPr>
        <w:spacing w:before="120" w:after="120" w:line="240" w:lineRule="auto"/>
        <w:jc w:val="center"/>
        <w:rPr>
          <w:rFonts w:eastAsia="MS Mincho" w:cs="Times New Roman"/>
          <w:b/>
          <w:sz w:val="24"/>
          <w:szCs w:val="24"/>
          <w:lang w:val="en-US"/>
        </w:rPr>
      </w:pPr>
    </w:p>
    <w:p w14:paraId="11AB9BA1" w14:textId="42172B9B" w:rsidR="00421AC5" w:rsidRDefault="00421AC5" w:rsidP="00421AC5">
      <w:pPr>
        <w:spacing w:before="120" w:after="120" w:line="240" w:lineRule="auto"/>
        <w:jc w:val="center"/>
        <w:rPr>
          <w:rFonts w:eastAsia="MS Mincho" w:cs="Times New Roman"/>
          <w:b/>
          <w:sz w:val="24"/>
          <w:szCs w:val="24"/>
          <w:lang w:val="en-US"/>
        </w:rPr>
      </w:pPr>
      <w:r w:rsidRPr="002E2AB9">
        <w:rPr>
          <w:rFonts w:eastAsia="MS Mincho" w:cs="Times New Roman"/>
          <w:b/>
          <w:sz w:val="24"/>
          <w:szCs w:val="24"/>
          <w:lang w:val="en-US"/>
        </w:rPr>
        <w:t xml:space="preserve">Sex </w:t>
      </w:r>
      <w:r w:rsidR="0025573B" w:rsidRPr="002E2AB9">
        <w:rPr>
          <w:rFonts w:eastAsia="MS Mincho" w:cs="Times New Roman"/>
          <w:b/>
          <w:sz w:val="24"/>
          <w:szCs w:val="24"/>
          <w:lang w:val="en-US"/>
        </w:rPr>
        <w:t xml:space="preserve">and Relationship </w:t>
      </w:r>
      <w:r w:rsidR="006C3C5F">
        <w:rPr>
          <w:rFonts w:eastAsia="MS Mincho" w:cs="Times New Roman"/>
          <w:b/>
          <w:sz w:val="24"/>
          <w:szCs w:val="24"/>
          <w:lang w:val="en-US"/>
        </w:rPr>
        <w:t>Education Policy</w:t>
      </w:r>
    </w:p>
    <w:p w14:paraId="0DF0B134" w14:textId="65CACDD6" w:rsidR="006C3C5F" w:rsidRDefault="006C3C5F" w:rsidP="00421AC5">
      <w:pPr>
        <w:spacing w:before="120" w:after="120" w:line="240" w:lineRule="auto"/>
        <w:jc w:val="center"/>
        <w:rPr>
          <w:rFonts w:eastAsia="MS Mincho" w:cs="Times New Roman"/>
          <w:b/>
          <w:sz w:val="24"/>
          <w:szCs w:val="24"/>
          <w:lang w:val="en-US"/>
        </w:rPr>
      </w:pPr>
    </w:p>
    <w:p w14:paraId="3047828E" w14:textId="42684612" w:rsidR="006C3C5F" w:rsidRDefault="006C3C5F" w:rsidP="00421AC5">
      <w:pPr>
        <w:spacing w:before="120" w:after="120" w:line="240" w:lineRule="auto"/>
        <w:jc w:val="center"/>
        <w:rPr>
          <w:rFonts w:eastAsia="MS Mincho" w:cs="Times New Roman"/>
          <w:b/>
          <w:sz w:val="24"/>
          <w:szCs w:val="24"/>
          <w:lang w:val="en-US"/>
        </w:rPr>
      </w:pPr>
    </w:p>
    <w:p w14:paraId="3554FB21" w14:textId="1832EB9F" w:rsidR="006C3C5F" w:rsidRDefault="006C3C5F" w:rsidP="00421AC5">
      <w:pPr>
        <w:spacing w:before="120" w:after="120" w:line="240" w:lineRule="auto"/>
        <w:jc w:val="center"/>
        <w:rPr>
          <w:rFonts w:eastAsia="MS Mincho" w:cs="Times New Roman"/>
          <w:b/>
          <w:sz w:val="24"/>
          <w:szCs w:val="24"/>
          <w:lang w:val="en-US"/>
        </w:rPr>
      </w:pPr>
    </w:p>
    <w:p w14:paraId="7485E2F0" w14:textId="4F600986" w:rsidR="006C3C5F" w:rsidRDefault="006C3C5F" w:rsidP="00421AC5">
      <w:pPr>
        <w:spacing w:before="120" w:after="120" w:line="240" w:lineRule="auto"/>
        <w:jc w:val="center"/>
        <w:rPr>
          <w:rFonts w:eastAsia="MS Mincho" w:cs="Times New Roman"/>
          <w:b/>
          <w:sz w:val="24"/>
          <w:szCs w:val="24"/>
          <w:lang w:val="en-US"/>
        </w:rPr>
      </w:pPr>
    </w:p>
    <w:p w14:paraId="325A28BB" w14:textId="47D9599C" w:rsidR="006C3C5F" w:rsidRDefault="006C3C5F" w:rsidP="00421AC5">
      <w:pPr>
        <w:spacing w:before="120" w:after="120" w:line="240" w:lineRule="auto"/>
        <w:jc w:val="center"/>
        <w:rPr>
          <w:rFonts w:eastAsia="MS Mincho" w:cs="Times New Roman"/>
          <w:b/>
          <w:sz w:val="24"/>
          <w:szCs w:val="24"/>
          <w:lang w:val="en-US"/>
        </w:rPr>
      </w:pPr>
    </w:p>
    <w:p w14:paraId="784FA10A" w14:textId="21E20800" w:rsidR="006C3C5F" w:rsidRDefault="006C3C5F" w:rsidP="00421AC5">
      <w:pPr>
        <w:spacing w:before="120" w:after="120" w:line="240" w:lineRule="auto"/>
        <w:jc w:val="center"/>
        <w:rPr>
          <w:rFonts w:eastAsia="MS Mincho" w:cs="Times New Roman"/>
          <w:b/>
          <w:sz w:val="24"/>
          <w:szCs w:val="24"/>
          <w:lang w:val="en-US"/>
        </w:rPr>
      </w:pPr>
    </w:p>
    <w:p w14:paraId="7759BC24" w14:textId="4893B09B" w:rsidR="006C3C5F" w:rsidRDefault="006C3C5F" w:rsidP="00421AC5">
      <w:pPr>
        <w:spacing w:before="120" w:after="120" w:line="240" w:lineRule="auto"/>
        <w:jc w:val="center"/>
        <w:rPr>
          <w:rFonts w:eastAsia="MS Mincho" w:cs="Times New Roman"/>
          <w:b/>
          <w:sz w:val="24"/>
          <w:szCs w:val="24"/>
          <w:lang w:val="en-US"/>
        </w:rPr>
      </w:pPr>
    </w:p>
    <w:p w14:paraId="64EB0A24" w14:textId="27F0ED22" w:rsidR="006C3C5F" w:rsidRDefault="006C3C5F" w:rsidP="00421AC5">
      <w:pPr>
        <w:spacing w:before="120" w:after="120" w:line="240" w:lineRule="auto"/>
        <w:jc w:val="center"/>
        <w:rPr>
          <w:rFonts w:eastAsia="MS Mincho" w:cs="Times New Roman"/>
          <w:b/>
          <w:sz w:val="24"/>
          <w:szCs w:val="24"/>
          <w:lang w:val="en-US"/>
        </w:rPr>
      </w:pPr>
    </w:p>
    <w:p w14:paraId="60C5F3F6" w14:textId="252D1091" w:rsidR="006C3C5F" w:rsidRDefault="006C3C5F" w:rsidP="00421AC5">
      <w:pPr>
        <w:spacing w:before="120" w:after="120" w:line="240" w:lineRule="auto"/>
        <w:jc w:val="center"/>
        <w:rPr>
          <w:rFonts w:eastAsia="MS Mincho" w:cs="Times New Roman"/>
          <w:b/>
          <w:sz w:val="24"/>
          <w:szCs w:val="24"/>
          <w:lang w:val="en-US"/>
        </w:rPr>
      </w:pPr>
    </w:p>
    <w:p w14:paraId="4CE1493E" w14:textId="79C39CB2" w:rsidR="006C3C5F" w:rsidRDefault="006C3C5F" w:rsidP="00421AC5">
      <w:pPr>
        <w:spacing w:before="120" w:after="120" w:line="240" w:lineRule="auto"/>
        <w:jc w:val="center"/>
        <w:rPr>
          <w:rFonts w:eastAsia="MS Mincho" w:cs="Times New Roman"/>
          <w:b/>
          <w:sz w:val="24"/>
          <w:szCs w:val="24"/>
          <w:lang w:val="en-US"/>
        </w:rPr>
      </w:pPr>
    </w:p>
    <w:p w14:paraId="605F5C50" w14:textId="45654872" w:rsidR="006C3C5F" w:rsidRDefault="006C3C5F" w:rsidP="00421AC5">
      <w:pPr>
        <w:spacing w:before="120" w:after="120" w:line="240" w:lineRule="auto"/>
        <w:jc w:val="center"/>
        <w:rPr>
          <w:rFonts w:eastAsia="MS Mincho" w:cs="Times New Roman"/>
          <w:b/>
          <w:sz w:val="24"/>
          <w:szCs w:val="24"/>
          <w:lang w:val="en-US"/>
        </w:rPr>
      </w:pPr>
    </w:p>
    <w:p w14:paraId="59992005" w14:textId="626E3B27" w:rsidR="006C3C5F" w:rsidRDefault="006C3C5F" w:rsidP="00421AC5">
      <w:pPr>
        <w:spacing w:before="120" w:after="120" w:line="240" w:lineRule="auto"/>
        <w:jc w:val="center"/>
        <w:rPr>
          <w:rFonts w:eastAsia="MS Mincho" w:cs="Times New Roman"/>
          <w:b/>
          <w:sz w:val="24"/>
          <w:szCs w:val="24"/>
          <w:lang w:val="en-US"/>
        </w:rPr>
      </w:pPr>
    </w:p>
    <w:p w14:paraId="39E0311E" w14:textId="68C91F97" w:rsidR="006C3C5F" w:rsidRDefault="006C3C5F" w:rsidP="00421AC5">
      <w:pPr>
        <w:spacing w:before="120" w:after="120" w:line="240" w:lineRule="auto"/>
        <w:jc w:val="center"/>
        <w:rPr>
          <w:rFonts w:eastAsia="MS Mincho" w:cs="Times New Roman"/>
          <w:b/>
          <w:sz w:val="24"/>
          <w:szCs w:val="24"/>
          <w:lang w:val="en-US"/>
        </w:rPr>
      </w:pPr>
    </w:p>
    <w:p w14:paraId="06CDDFF1" w14:textId="2314CC3C" w:rsidR="006C3C5F" w:rsidRDefault="006C3C5F" w:rsidP="00421AC5">
      <w:pPr>
        <w:spacing w:before="120" w:after="120" w:line="240" w:lineRule="auto"/>
        <w:jc w:val="center"/>
        <w:rPr>
          <w:rFonts w:eastAsia="MS Mincho" w:cs="Times New Roman"/>
          <w:b/>
          <w:sz w:val="24"/>
          <w:szCs w:val="24"/>
          <w:lang w:val="en-US"/>
        </w:rPr>
      </w:pPr>
    </w:p>
    <w:p w14:paraId="6FEBEFA9" w14:textId="49562CBE" w:rsidR="006C3C5F" w:rsidRDefault="006C3C5F" w:rsidP="00421AC5">
      <w:pPr>
        <w:spacing w:before="120" w:after="120" w:line="240" w:lineRule="auto"/>
        <w:jc w:val="center"/>
        <w:rPr>
          <w:rFonts w:eastAsia="MS Mincho" w:cs="Times New Roman"/>
          <w:b/>
          <w:sz w:val="24"/>
          <w:szCs w:val="24"/>
          <w:lang w:val="en-US"/>
        </w:rPr>
      </w:pPr>
    </w:p>
    <w:p w14:paraId="09FF42BA" w14:textId="20AF9AE9" w:rsidR="006C3C5F" w:rsidRDefault="006C3C5F" w:rsidP="00421AC5">
      <w:pPr>
        <w:spacing w:before="120" w:after="120" w:line="240" w:lineRule="auto"/>
        <w:jc w:val="center"/>
        <w:rPr>
          <w:rFonts w:eastAsia="MS Mincho" w:cs="Times New Roman"/>
          <w:b/>
          <w:sz w:val="24"/>
          <w:szCs w:val="24"/>
          <w:lang w:val="en-US"/>
        </w:rPr>
      </w:pPr>
    </w:p>
    <w:p w14:paraId="0BD69F1C" w14:textId="43A2AD12" w:rsidR="006C3C5F" w:rsidRDefault="006C3C5F" w:rsidP="00421AC5">
      <w:pPr>
        <w:spacing w:before="120" w:after="120" w:line="240" w:lineRule="auto"/>
        <w:jc w:val="center"/>
        <w:rPr>
          <w:rFonts w:eastAsia="MS Mincho" w:cs="Times New Roman"/>
          <w:b/>
          <w:sz w:val="24"/>
          <w:szCs w:val="24"/>
          <w:lang w:val="en-US"/>
        </w:rPr>
      </w:pPr>
    </w:p>
    <w:p w14:paraId="52D65258" w14:textId="0321ECC3" w:rsidR="006C3C5F" w:rsidRDefault="006C3C5F" w:rsidP="00421AC5">
      <w:pPr>
        <w:spacing w:before="120" w:after="120" w:line="240" w:lineRule="auto"/>
        <w:jc w:val="center"/>
        <w:rPr>
          <w:rFonts w:eastAsia="MS Mincho" w:cs="Times New Roman"/>
          <w:b/>
          <w:sz w:val="24"/>
          <w:szCs w:val="24"/>
          <w:lang w:val="en-US"/>
        </w:rPr>
      </w:pPr>
    </w:p>
    <w:p w14:paraId="4784B2CE" w14:textId="48CC6AFE" w:rsidR="006C3C5F" w:rsidRDefault="006C3C5F" w:rsidP="00421AC5">
      <w:pPr>
        <w:spacing w:before="120" w:after="120" w:line="240" w:lineRule="auto"/>
        <w:jc w:val="center"/>
        <w:rPr>
          <w:rFonts w:eastAsia="MS Mincho" w:cs="Times New Roman"/>
          <w:b/>
          <w:sz w:val="24"/>
          <w:szCs w:val="24"/>
          <w:lang w:val="en-US"/>
        </w:rPr>
      </w:pPr>
    </w:p>
    <w:p w14:paraId="6531812A" w14:textId="77777777" w:rsidR="006C3C5F" w:rsidRPr="002E2AB9" w:rsidRDefault="006C3C5F" w:rsidP="00421AC5">
      <w:pPr>
        <w:spacing w:before="120" w:after="120" w:line="240" w:lineRule="auto"/>
        <w:jc w:val="center"/>
        <w:rPr>
          <w:rFonts w:eastAsia="MS Mincho" w:cs="Times New Roman"/>
          <w:b/>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6C3C5F" w14:paraId="2959B532" w14:textId="77777777" w:rsidTr="007D0F61">
        <w:tc>
          <w:tcPr>
            <w:tcW w:w="3005" w:type="dxa"/>
          </w:tcPr>
          <w:p w14:paraId="1E4487D1" w14:textId="77777777" w:rsidR="006C3C5F" w:rsidRDefault="006C3C5F" w:rsidP="007D0F61">
            <w:pPr>
              <w:rPr>
                <w:rFonts w:cs="Arial"/>
                <w:b/>
                <w:sz w:val="28"/>
                <w:szCs w:val="28"/>
              </w:rPr>
            </w:pPr>
            <w:r>
              <w:rPr>
                <w:rFonts w:cs="Arial"/>
                <w:b/>
                <w:sz w:val="28"/>
                <w:szCs w:val="28"/>
              </w:rPr>
              <w:t>Date</w:t>
            </w:r>
          </w:p>
        </w:tc>
        <w:tc>
          <w:tcPr>
            <w:tcW w:w="3005" w:type="dxa"/>
          </w:tcPr>
          <w:p w14:paraId="461B2349" w14:textId="58B82610" w:rsidR="006C3C5F" w:rsidRDefault="006C3C5F" w:rsidP="00A7398E">
            <w:pPr>
              <w:rPr>
                <w:rFonts w:cs="Arial"/>
                <w:b/>
                <w:sz w:val="28"/>
                <w:szCs w:val="28"/>
              </w:rPr>
            </w:pPr>
            <w:r>
              <w:rPr>
                <w:rFonts w:cs="Arial"/>
                <w:b/>
                <w:sz w:val="28"/>
                <w:szCs w:val="28"/>
              </w:rPr>
              <w:t>July 201</w:t>
            </w:r>
            <w:r w:rsidR="00A7398E">
              <w:rPr>
                <w:rFonts w:cs="Arial"/>
                <w:b/>
                <w:sz w:val="28"/>
                <w:szCs w:val="28"/>
              </w:rPr>
              <w:t>9</w:t>
            </w:r>
          </w:p>
        </w:tc>
        <w:tc>
          <w:tcPr>
            <w:tcW w:w="3006" w:type="dxa"/>
          </w:tcPr>
          <w:p w14:paraId="1A257081" w14:textId="77777777" w:rsidR="006C3C5F" w:rsidRDefault="006C3C5F" w:rsidP="007D0F61">
            <w:pPr>
              <w:rPr>
                <w:rFonts w:cs="Arial"/>
                <w:b/>
                <w:sz w:val="28"/>
                <w:szCs w:val="28"/>
              </w:rPr>
            </w:pPr>
          </w:p>
        </w:tc>
      </w:tr>
      <w:tr w:rsidR="006C3C5F" w14:paraId="43BE5919" w14:textId="77777777" w:rsidTr="007D0F61">
        <w:tc>
          <w:tcPr>
            <w:tcW w:w="3005" w:type="dxa"/>
          </w:tcPr>
          <w:p w14:paraId="7188F8B5" w14:textId="77777777" w:rsidR="006C3C5F" w:rsidRDefault="006C3C5F" w:rsidP="007D0F61">
            <w:pPr>
              <w:rPr>
                <w:rFonts w:cs="Arial"/>
                <w:b/>
                <w:sz w:val="28"/>
                <w:szCs w:val="28"/>
              </w:rPr>
            </w:pPr>
          </w:p>
        </w:tc>
        <w:tc>
          <w:tcPr>
            <w:tcW w:w="3005" w:type="dxa"/>
          </w:tcPr>
          <w:p w14:paraId="2EBA24C7" w14:textId="77777777" w:rsidR="006C3C5F" w:rsidRDefault="006C3C5F" w:rsidP="007D0F61">
            <w:pPr>
              <w:rPr>
                <w:rFonts w:cs="Arial"/>
                <w:b/>
                <w:sz w:val="28"/>
                <w:szCs w:val="28"/>
              </w:rPr>
            </w:pPr>
          </w:p>
        </w:tc>
        <w:tc>
          <w:tcPr>
            <w:tcW w:w="3006" w:type="dxa"/>
          </w:tcPr>
          <w:p w14:paraId="3621A4DC" w14:textId="77777777" w:rsidR="006C3C5F" w:rsidRDefault="006C3C5F" w:rsidP="007D0F61">
            <w:pPr>
              <w:rPr>
                <w:rFonts w:cs="Arial"/>
                <w:b/>
                <w:sz w:val="28"/>
                <w:szCs w:val="28"/>
              </w:rPr>
            </w:pPr>
          </w:p>
        </w:tc>
      </w:tr>
      <w:tr w:rsidR="006C3C5F" w14:paraId="0B68AA8A" w14:textId="77777777" w:rsidTr="007D0F61">
        <w:tc>
          <w:tcPr>
            <w:tcW w:w="3005" w:type="dxa"/>
          </w:tcPr>
          <w:p w14:paraId="786CF15D" w14:textId="77777777" w:rsidR="006C3C5F" w:rsidRDefault="006C3C5F" w:rsidP="007D0F61">
            <w:pPr>
              <w:rPr>
                <w:rFonts w:cs="Arial"/>
                <w:b/>
                <w:sz w:val="28"/>
                <w:szCs w:val="28"/>
              </w:rPr>
            </w:pPr>
            <w:r>
              <w:rPr>
                <w:rFonts w:cs="Arial"/>
                <w:b/>
                <w:sz w:val="28"/>
                <w:szCs w:val="28"/>
              </w:rPr>
              <w:t>Review Date</w:t>
            </w:r>
          </w:p>
        </w:tc>
        <w:tc>
          <w:tcPr>
            <w:tcW w:w="3005" w:type="dxa"/>
          </w:tcPr>
          <w:p w14:paraId="06748276" w14:textId="7685CDAA" w:rsidR="006C3C5F" w:rsidRDefault="00A7398E" w:rsidP="007D0F61">
            <w:pPr>
              <w:rPr>
                <w:rFonts w:cs="Arial"/>
                <w:b/>
                <w:sz w:val="28"/>
                <w:szCs w:val="28"/>
              </w:rPr>
            </w:pPr>
            <w:r>
              <w:rPr>
                <w:rFonts w:cs="Arial"/>
                <w:b/>
                <w:sz w:val="28"/>
                <w:szCs w:val="28"/>
              </w:rPr>
              <w:t>July 2022</w:t>
            </w:r>
            <w:bookmarkStart w:id="0" w:name="_GoBack"/>
            <w:bookmarkEnd w:id="0"/>
          </w:p>
        </w:tc>
        <w:tc>
          <w:tcPr>
            <w:tcW w:w="3006" w:type="dxa"/>
          </w:tcPr>
          <w:p w14:paraId="3EBD9E24" w14:textId="77777777" w:rsidR="006C3C5F" w:rsidRDefault="006C3C5F" w:rsidP="007D0F61">
            <w:pPr>
              <w:rPr>
                <w:rFonts w:cs="Arial"/>
                <w:b/>
                <w:sz w:val="28"/>
                <w:szCs w:val="28"/>
              </w:rPr>
            </w:pPr>
          </w:p>
        </w:tc>
      </w:tr>
      <w:tr w:rsidR="006C3C5F" w14:paraId="171C984E" w14:textId="77777777" w:rsidTr="007D0F61">
        <w:tc>
          <w:tcPr>
            <w:tcW w:w="3005" w:type="dxa"/>
          </w:tcPr>
          <w:p w14:paraId="49633358" w14:textId="77777777" w:rsidR="006C3C5F" w:rsidRDefault="006C3C5F" w:rsidP="007D0F61">
            <w:pPr>
              <w:rPr>
                <w:rFonts w:cs="Arial"/>
                <w:b/>
                <w:sz w:val="28"/>
                <w:szCs w:val="28"/>
              </w:rPr>
            </w:pPr>
          </w:p>
        </w:tc>
        <w:tc>
          <w:tcPr>
            <w:tcW w:w="3005" w:type="dxa"/>
          </w:tcPr>
          <w:p w14:paraId="7DB58E2F" w14:textId="77777777" w:rsidR="006C3C5F" w:rsidRDefault="006C3C5F" w:rsidP="007D0F61">
            <w:pPr>
              <w:rPr>
                <w:rFonts w:cs="Arial"/>
                <w:b/>
                <w:sz w:val="28"/>
                <w:szCs w:val="28"/>
              </w:rPr>
            </w:pPr>
          </w:p>
        </w:tc>
        <w:tc>
          <w:tcPr>
            <w:tcW w:w="3006" w:type="dxa"/>
          </w:tcPr>
          <w:p w14:paraId="391C8B66" w14:textId="77777777" w:rsidR="006C3C5F" w:rsidRDefault="006C3C5F" w:rsidP="007D0F61">
            <w:pPr>
              <w:rPr>
                <w:rFonts w:cs="Arial"/>
                <w:b/>
                <w:sz w:val="28"/>
                <w:szCs w:val="28"/>
              </w:rPr>
            </w:pPr>
          </w:p>
        </w:tc>
      </w:tr>
      <w:tr w:rsidR="006C3C5F" w14:paraId="5A8BEE6C" w14:textId="77777777" w:rsidTr="007D0F61">
        <w:tc>
          <w:tcPr>
            <w:tcW w:w="3005" w:type="dxa"/>
          </w:tcPr>
          <w:p w14:paraId="3F0BB06B" w14:textId="77777777" w:rsidR="006C3C5F" w:rsidRDefault="006C3C5F" w:rsidP="007D0F61">
            <w:pPr>
              <w:rPr>
                <w:rFonts w:cs="Arial"/>
                <w:b/>
                <w:sz w:val="28"/>
                <w:szCs w:val="28"/>
              </w:rPr>
            </w:pPr>
            <w:r>
              <w:rPr>
                <w:rFonts w:cs="Arial"/>
                <w:b/>
                <w:sz w:val="28"/>
                <w:szCs w:val="28"/>
              </w:rPr>
              <w:t>Chair of Governors</w:t>
            </w:r>
          </w:p>
        </w:tc>
        <w:tc>
          <w:tcPr>
            <w:tcW w:w="3005" w:type="dxa"/>
          </w:tcPr>
          <w:p w14:paraId="3E7BC8AC" w14:textId="77777777" w:rsidR="006C3C5F" w:rsidRDefault="006C3C5F" w:rsidP="007D0F61">
            <w:pPr>
              <w:rPr>
                <w:rFonts w:cs="Arial"/>
                <w:b/>
                <w:sz w:val="28"/>
                <w:szCs w:val="28"/>
              </w:rPr>
            </w:pPr>
            <w:r>
              <w:rPr>
                <w:rFonts w:cs="Arial"/>
                <w:b/>
                <w:sz w:val="28"/>
                <w:szCs w:val="28"/>
              </w:rPr>
              <w:t>Mr E. Griffiths</w:t>
            </w:r>
          </w:p>
        </w:tc>
        <w:tc>
          <w:tcPr>
            <w:tcW w:w="3006" w:type="dxa"/>
            <w:tcBorders>
              <w:bottom w:val="single" w:sz="4" w:space="0" w:color="auto"/>
            </w:tcBorders>
          </w:tcPr>
          <w:p w14:paraId="2DCE331F" w14:textId="77777777" w:rsidR="006C3C5F" w:rsidRDefault="006C3C5F" w:rsidP="007D0F61">
            <w:pPr>
              <w:rPr>
                <w:rFonts w:cs="Arial"/>
                <w:b/>
                <w:sz w:val="28"/>
                <w:szCs w:val="28"/>
              </w:rPr>
            </w:pPr>
          </w:p>
        </w:tc>
      </w:tr>
      <w:tr w:rsidR="006C3C5F" w14:paraId="74CFE752" w14:textId="77777777" w:rsidTr="007D0F61">
        <w:tc>
          <w:tcPr>
            <w:tcW w:w="3005" w:type="dxa"/>
          </w:tcPr>
          <w:p w14:paraId="45468DFC" w14:textId="77777777" w:rsidR="006C3C5F" w:rsidRDefault="006C3C5F" w:rsidP="007D0F61">
            <w:pPr>
              <w:rPr>
                <w:rFonts w:cs="Arial"/>
                <w:b/>
                <w:sz w:val="28"/>
                <w:szCs w:val="28"/>
              </w:rPr>
            </w:pPr>
          </w:p>
        </w:tc>
        <w:tc>
          <w:tcPr>
            <w:tcW w:w="3005" w:type="dxa"/>
          </w:tcPr>
          <w:p w14:paraId="3EC1D3D7" w14:textId="77777777" w:rsidR="006C3C5F" w:rsidRDefault="006C3C5F" w:rsidP="007D0F61">
            <w:pPr>
              <w:rPr>
                <w:rFonts w:cs="Arial"/>
                <w:b/>
                <w:sz w:val="28"/>
                <w:szCs w:val="28"/>
              </w:rPr>
            </w:pPr>
          </w:p>
        </w:tc>
        <w:tc>
          <w:tcPr>
            <w:tcW w:w="3006" w:type="dxa"/>
            <w:tcBorders>
              <w:top w:val="single" w:sz="4" w:space="0" w:color="auto"/>
            </w:tcBorders>
          </w:tcPr>
          <w:p w14:paraId="2CE8AA09" w14:textId="77777777" w:rsidR="006C3C5F" w:rsidRDefault="006C3C5F" w:rsidP="007D0F61">
            <w:pPr>
              <w:rPr>
                <w:rFonts w:cs="Arial"/>
                <w:b/>
                <w:sz w:val="28"/>
                <w:szCs w:val="28"/>
              </w:rPr>
            </w:pPr>
          </w:p>
        </w:tc>
      </w:tr>
      <w:tr w:rsidR="006C3C5F" w14:paraId="142BB672" w14:textId="77777777" w:rsidTr="007D0F61">
        <w:tc>
          <w:tcPr>
            <w:tcW w:w="3005" w:type="dxa"/>
          </w:tcPr>
          <w:p w14:paraId="66EA1CA3" w14:textId="77777777" w:rsidR="006C3C5F" w:rsidRDefault="006C3C5F" w:rsidP="007D0F61">
            <w:pPr>
              <w:rPr>
                <w:rFonts w:cs="Arial"/>
                <w:b/>
                <w:sz w:val="28"/>
                <w:szCs w:val="28"/>
              </w:rPr>
            </w:pPr>
            <w:proofErr w:type="spellStart"/>
            <w:r>
              <w:rPr>
                <w:rFonts w:cs="Arial"/>
                <w:b/>
                <w:sz w:val="28"/>
                <w:szCs w:val="28"/>
              </w:rPr>
              <w:t>Headteacher</w:t>
            </w:r>
            <w:proofErr w:type="spellEnd"/>
          </w:p>
        </w:tc>
        <w:tc>
          <w:tcPr>
            <w:tcW w:w="3005" w:type="dxa"/>
          </w:tcPr>
          <w:p w14:paraId="3E599020" w14:textId="77777777" w:rsidR="006C3C5F" w:rsidRDefault="006C3C5F" w:rsidP="007D0F61">
            <w:pPr>
              <w:rPr>
                <w:rFonts w:cs="Arial"/>
                <w:b/>
                <w:sz w:val="28"/>
                <w:szCs w:val="28"/>
              </w:rPr>
            </w:pPr>
            <w:r>
              <w:rPr>
                <w:rFonts w:cs="Arial"/>
                <w:b/>
                <w:sz w:val="28"/>
                <w:szCs w:val="28"/>
              </w:rPr>
              <w:t xml:space="preserve">Mrs K. </w:t>
            </w:r>
            <w:proofErr w:type="spellStart"/>
            <w:r>
              <w:rPr>
                <w:rFonts w:cs="Arial"/>
                <w:b/>
                <w:sz w:val="28"/>
                <w:szCs w:val="28"/>
              </w:rPr>
              <w:t>Retallick</w:t>
            </w:r>
            <w:proofErr w:type="spellEnd"/>
          </w:p>
        </w:tc>
        <w:tc>
          <w:tcPr>
            <w:tcW w:w="3006" w:type="dxa"/>
            <w:tcBorders>
              <w:bottom w:val="single" w:sz="4" w:space="0" w:color="auto"/>
            </w:tcBorders>
          </w:tcPr>
          <w:p w14:paraId="0CFAFF95" w14:textId="77777777" w:rsidR="006C3C5F" w:rsidRDefault="006C3C5F" w:rsidP="007D0F61">
            <w:pPr>
              <w:rPr>
                <w:rFonts w:cs="Arial"/>
                <w:b/>
                <w:sz w:val="28"/>
                <w:szCs w:val="28"/>
              </w:rPr>
            </w:pPr>
          </w:p>
        </w:tc>
      </w:tr>
    </w:tbl>
    <w:p w14:paraId="6D0AC5A0" w14:textId="25EE166C" w:rsidR="00421AC5" w:rsidRPr="00543924" w:rsidRDefault="00554F9C" w:rsidP="00543924">
      <w:pPr>
        <w:pStyle w:val="ListParagraph"/>
        <w:keepNext/>
        <w:keepLines/>
        <w:numPr>
          <w:ilvl w:val="0"/>
          <w:numId w:val="4"/>
        </w:numPr>
        <w:spacing w:before="480" w:after="120" w:line="240" w:lineRule="auto"/>
        <w:outlineLvl w:val="0"/>
        <w:rPr>
          <w:rFonts w:eastAsia="MS Gothic" w:cs="Times New Roman"/>
          <w:b/>
          <w:bCs/>
          <w:sz w:val="24"/>
          <w:szCs w:val="24"/>
          <w:lang w:val="en-US"/>
        </w:rPr>
      </w:pPr>
      <w:bookmarkStart w:id="1" w:name="_Toc492991521"/>
      <w:r w:rsidRPr="00543924">
        <w:rPr>
          <w:rFonts w:eastAsia="MS Gothic" w:cs="Times New Roman"/>
          <w:b/>
          <w:bCs/>
          <w:sz w:val="24"/>
          <w:szCs w:val="24"/>
          <w:lang w:val="en-US"/>
        </w:rPr>
        <w:lastRenderedPageBreak/>
        <w:t>Introduction</w:t>
      </w:r>
      <w:bookmarkEnd w:id="1"/>
    </w:p>
    <w:p w14:paraId="5CBA6E96" w14:textId="3F4B1B82" w:rsidR="00067122" w:rsidRPr="002E2AB9" w:rsidRDefault="00543924" w:rsidP="00543924">
      <w:pPr>
        <w:pStyle w:val="NormalWeb"/>
        <w:ind w:left="720" w:hanging="720"/>
        <w:rPr>
          <w:rFonts w:asciiTheme="minorHAnsi" w:hAnsiTheme="minorHAnsi"/>
        </w:rPr>
      </w:pPr>
      <w:bookmarkStart w:id="2" w:name="_Toc492991524"/>
      <w:r>
        <w:rPr>
          <w:rFonts w:asciiTheme="minorHAnsi" w:hAnsiTheme="minorHAnsi" w:cs="Arial"/>
        </w:rPr>
        <w:t>1.1</w:t>
      </w:r>
      <w:r>
        <w:rPr>
          <w:rFonts w:asciiTheme="minorHAnsi" w:hAnsiTheme="minorHAnsi" w:cs="Arial"/>
        </w:rPr>
        <w:tab/>
      </w:r>
      <w:r w:rsidR="00554F9C" w:rsidRPr="002E2AB9">
        <w:rPr>
          <w:rFonts w:asciiTheme="minorHAnsi" w:hAnsiTheme="minorHAnsi" w:cs="Arial"/>
        </w:rPr>
        <w:t>Sex and relationships education (</w:t>
      </w:r>
      <w:r w:rsidR="00067122" w:rsidRPr="002E2AB9">
        <w:rPr>
          <w:rFonts w:asciiTheme="minorHAnsi" w:hAnsiTheme="minorHAnsi" w:cs="Arial"/>
        </w:rPr>
        <w:t>SRE</w:t>
      </w:r>
      <w:r w:rsidR="00554F9C" w:rsidRPr="002E2AB9">
        <w:rPr>
          <w:rFonts w:asciiTheme="minorHAnsi" w:hAnsiTheme="minorHAnsi" w:cs="Arial"/>
        </w:rPr>
        <w:t>)</w:t>
      </w:r>
      <w:r w:rsidR="00067122" w:rsidRPr="002E2AB9">
        <w:rPr>
          <w:rFonts w:asciiTheme="minorHAnsi" w:hAnsiTheme="minorHAnsi" w:cs="Arial"/>
        </w:rPr>
        <w:t xml:space="preserve"> i</w:t>
      </w:r>
      <w:r w:rsidR="00554F9C" w:rsidRPr="002E2AB9">
        <w:rPr>
          <w:rFonts w:asciiTheme="minorHAnsi" w:hAnsiTheme="minorHAnsi" w:cs="Arial"/>
        </w:rPr>
        <w:t>s a compulsory part of the</w:t>
      </w:r>
      <w:r w:rsidR="00067122" w:rsidRPr="002E2AB9">
        <w:rPr>
          <w:rFonts w:asciiTheme="minorHAnsi" w:hAnsiTheme="minorHAnsi" w:cs="Arial"/>
        </w:rPr>
        <w:t xml:space="preserve"> </w:t>
      </w:r>
      <w:r w:rsidR="00554F9C" w:rsidRPr="002E2AB9">
        <w:rPr>
          <w:rFonts w:asciiTheme="minorHAnsi" w:hAnsiTheme="minorHAnsi" w:cs="Arial"/>
        </w:rPr>
        <w:t>curriculum in secondary schools</w:t>
      </w:r>
      <w:r w:rsidR="00067122" w:rsidRPr="002E2AB9">
        <w:rPr>
          <w:rFonts w:asciiTheme="minorHAnsi" w:hAnsiTheme="minorHAnsi" w:cs="Arial"/>
        </w:rPr>
        <w:t xml:space="preserve"> under the Education Act 2002. Primary schools are also r</w:t>
      </w:r>
      <w:r w:rsidR="00554F9C" w:rsidRPr="002E2AB9">
        <w:rPr>
          <w:rFonts w:asciiTheme="minorHAnsi" w:hAnsiTheme="minorHAnsi" w:cs="Arial"/>
        </w:rPr>
        <w:t>equired to have a policy on SRE</w:t>
      </w:r>
      <w:r w:rsidR="00067122" w:rsidRPr="002E2AB9">
        <w:rPr>
          <w:rFonts w:asciiTheme="minorHAnsi" w:hAnsiTheme="minorHAnsi" w:cs="Arial"/>
        </w:rPr>
        <w:t xml:space="preserve"> outlining details of their SRE programme or explaining their decision not to provide SRE. </w:t>
      </w:r>
    </w:p>
    <w:p w14:paraId="773155A4" w14:textId="3F6B166E" w:rsidR="00067122" w:rsidRPr="002E2AB9" w:rsidRDefault="00543924" w:rsidP="00543924">
      <w:pPr>
        <w:pStyle w:val="NormalWeb"/>
        <w:ind w:left="720" w:hanging="720"/>
        <w:rPr>
          <w:rFonts w:asciiTheme="minorHAnsi" w:hAnsiTheme="minorHAnsi"/>
        </w:rPr>
      </w:pPr>
      <w:r>
        <w:rPr>
          <w:rFonts w:asciiTheme="minorHAnsi" w:hAnsiTheme="minorHAnsi" w:cs="Arial"/>
        </w:rPr>
        <w:t>1.2</w:t>
      </w:r>
      <w:r>
        <w:rPr>
          <w:rFonts w:asciiTheme="minorHAnsi" w:hAnsiTheme="minorHAnsi" w:cs="Arial"/>
        </w:rPr>
        <w:tab/>
      </w:r>
      <w:r w:rsidR="00067122" w:rsidRPr="002E2AB9">
        <w:rPr>
          <w:rFonts w:asciiTheme="minorHAnsi" w:hAnsiTheme="minorHAnsi" w:cs="Arial"/>
        </w:rPr>
        <w:t xml:space="preserve">Personal and social education (PSE) became a compulsory part of the basic curriculum in both primary and secondary schools in September 2003. Schools are expected to use the PSE framework for planning and delivering SRE and to follow Welsh Government guidance. The most recent non-statutory guidance was published in 2010. Parents have the right to withdraw their child from SRE. Schools have responsibility for the SRE professional development needs of staff, although all staff in Welsh schools are required to complete basic safeguarding training and level 1 training on violence against women, domestic abuse and sexual violence. </w:t>
      </w:r>
    </w:p>
    <w:p w14:paraId="22BACD8F" w14:textId="12DD970E" w:rsidR="00421AC5" w:rsidRPr="002E2AB9" w:rsidRDefault="00543924" w:rsidP="00421AC5">
      <w:pPr>
        <w:keepNext/>
        <w:keepLines/>
        <w:spacing w:before="480" w:after="120" w:line="240" w:lineRule="auto"/>
        <w:outlineLvl w:val="0"/>
        <w:rPr>
          <w:rFonts w:eastAsia="MS Gothic" w:cs="Times New Roman"/>
          <w:b/>
          <w:bCs/>
          <w:sz w:val="24"/>
          <w:szCs w:val="24"/>
          <w:lang w:val="en-US"/>
        </w:rPr>
      </w:pPr>
      <w:r>
        <w:rPr>
          <w:rFonts w:eastAsia="MS Gothic" w:cs="Times New Roman"/>
          <w:b/>
          <w:bCs/>
          <w:sz w:val="24"/>
          <w:szCs w:val="24"/>
          <w:lang w:val="en-US"/>
        </w:rPr>
        <w:t>2.</w:t>
      </w:r>
      <w:r>
        <w:rPr>
          <w:rFonts w:eastAsia="MS Gothic" w:cs="Times New Roman"/>
          <w:b/>
          <w:bCs/>
          <w:sz w:val="24"/>
          <w:szCs w:val="24"/>
          <w:lang w:val="en-US"/>
        </w:rPr>
        <w:tab/>
      </w:r>
      <w:r w:rsidR="00421AC5" w:rsidRPr="002E2AB9">
        <w:rPr>
          <w:rFonts w:eastAsia="MS Gothic" w:cs="Times New Roman"/>
          <w:b/>
          <w:bCs/>
          <w:sz w:val="24"/>
          <w:szCs w:val="24"/>
          <w:lang w:val="en-US"/>
        </w:rPr>
        <w:t>Definition</w:t>
      </w:r>
      <w:bookmarkEnd w:id="2"/>
      <w:r w:rsidR="00554F9C" w:rsidRPr="002E2AB9">
        <w:rPr>
          <w:rFonts w:eastAsia="MS Gothic" w:cs="Times New Roman"/>
          <w:b/>
          <w:bCs/>
          <w:sz w:val="24"/>
          <w:szCs w:val="24"/>
          <w:lang w:val="en-US"/>
        </w:rPr>
        <w:t>s and aims</w:t>
      </w:r>
    </w:p>
    <w:p w14:paraId="427A1302" w14:textId="59F8A29D" w:rsidR="00554F9C" w:rsidRPr="002E2AB9" w:rsidRDefault="00543924" w:rsidP="00543924">
      <w:pPr>
        <w:spacing w:before="120" w:after="120" w:line="240" w:lineRule="auto"/>
        <w:ind w:left="720" w:hanging="720"/>
        <w:rPr>
          <w:rFonts w:eastAsia="MS Mincho" w:cs="Times New Roman"/>
          <w:sz w:val="24"/>
          <w:szCs w:val="24"/>
        </w:rPr>
      </w:pPr>
      <w:r>
        <w:rPr>
          <w:rFonts w:eastAsia="MS Mincho" w:cs="Times New Roman"/>
          <w:sz w:val="24"/>
          <w:szCs w:val="24"/>
        </w:rPr>
        <w:t>2.1</w:t>
      </w:r>
      <w:r>
        <w:rPr>
          <w:rFonts w:eastAsia="MS Mincho" w:cs="Times New Roman"/>
          <w:sz w:val="24"/>
          <w:szCs w:val="24"/>
        </w:rPr>
        <w:tab/>
      </w:r>
      <w:r w:rsidR="00554F9C" w:rsidRPr="002E2AB9">
        <w:rPr>
          <w:rFonts w:eastAsia="MS Mincho" w:cs="Times New Roman"/>
          <w:sz w:val="24"/>
          <w:szCs w:val="24"/>
        </w:rPr>
        <w:t>The focus of SRE in schools is around</w:t>
      </w:r>
      <w:r w:rsidR="00421AC5" w:rsidRPr="002E2AB9">
        <w:rPr>
          <w:rFonts w:eastAsia="MS Mincho" w:cs="Times New Roman"/>
          <w:sz w:val="24"/>
          <w:szCs w:val="24"/>
        </w:rPr>
        <w:t xml:space="preserve"> the emotional, social and</w:t>
      </w:r>
      <w:r w:rsidR="00554F9C" w:rsidRPr="002E2AB9">
        <w:rPr>
          <w:rFonts w:eastAsia="MS Mincho" w:cs="Times New Roman"/>
          <w:sz w:val="24"/>
          <w:szCs w:val="24"/>
        </w:rPr>
        <w:t xml:space="preserve"> cultural development of pupils. It</w:t>
      </w:r>
      <w:r w:rsidR="00421AC5" w:rsidRPr="002E2AB9">
        <w:rPr>
          <w:rFonts w:eastAsia="MS Mincho" w:cs="Times New Roman"/>
          <w:sz w:val="24"/>
          <w:szCs w:val="24"/>
        </w:rPr>
        <w:t xml:space="preserve"> involves learning about relationships, sexual health, sexuality, healthy lifestyles, diversity and personal identity. SRE involves a combination of sharing information, and exploring issues and values. SRE is not about the promotion of sexual activity.</w:t>
      </w:r>
    </w:p>
    <w:p w14:paraId="5FEEF68C" w14:textId="32835985" w:rsidR="00554F9C" w:rsidRPr="002E2AB9" w:rsidRDefault="00543924" w:rsidP="00554F9C">
      <w:pPr>
        <w:spacing w:before="120" w:after="0" w:line="240" w:lineRule="auto"/>
        <w:rPr>
          <w:rFonts w:eastAsia="MS Mincho" w:cs="Arial"/>
          <w:sz w:val="24"/>
          <w:szCs w:val="24"/>
          <w:lang w:val="en-US"/>
        </w:rPr>
      </w:pPr>
      <w:r>
        <w:rPr>
          <w:rFonts w:eastAsia="MS Mincho" w:cs="Arial"/>
          <w:sz w:val="24"/>
          <w:szCs w:val="24"/>
          <w:lang w:val="en-US"/>
        </w:rPr>
        <w:t>2.2</w:t>
      </w:r>
      <w:r>
        <w:rPr>
          <w:rFonts w:eastAsia="MS Mincho" w:cs="Arial"/>
          <w:sz w:val="24"/>
          <w:szCs w:val="24"/>
          <w:lang w:val="en-US"/>
        </w:rPr>
        <w:tab/>
      </w:r>
      <w:r w:rsidR="00554F9C" w:rsidRPr="002E2AB9">
        <w:rPr>
          <w:rFonts w:eastAsia="MS Mincho" w:cs="Arial"/>
          <w:sz w:val="24"/>
          <w:szCs w:val="24"/>
          <w:lang w:val="en-US"/>
        </w:rPr>
        <w:t xml:space="preserve">The aims of sex and relationship education (SRE) at </w:t>
      </w:r>
      <w:proofErr w:type="spellStart"/>
      <w:r w:rsidR="00554F9C" w:rsidRPr="002E2AB9">
        <w:rPr>
          <w:rFonts w:eastAsia="MS Mincho" w:cs="Arial"/>
          <w:sz w:val="24"/>
          <w:szCs w:val="24"/>
          <w:lang w:val="en-US"/>
        </w:rPr>
        <w:t>Ysgol</w:t>
      </w:r>
      <w:proofErr w:type="spellEnd"/>
      <w:r w:rsidR="00554F9C" w:rsidRPr="002E2AB9">
        <w:rPr>
          <w:rFonts w:eastAsia="MS Mincho" w:cs="Arial"/>
          <w:sz w:val="24"/>
          <w:szCs w:val="24"/>
          <w:lang w:val="en-US"/>
        </w:rPr>
        <w:t xml:space="preserve"> </w:t>
      </w:r>
      <w:proofErr w:type="spellStart"/>
      <w:r w:rsidR="00554F9C" w:rsidRPr="002E2AB9">
        <w:rPr>
          <w:rFonts w:eastAsia="MS Mincho" w:cs="Arial"/>
          <w:sz w:val="24"/>
          <w:szCs w:val="24"/>
          <w:lang w:val="en-US"/>
        </w:rPr>
        <w:t>Nantgwyn</w:t>
      </w:r>
      <w:proofErr w:type="spellEnd"/>
      <w:r w:rsidR="00554F9C" w:rsidRPr="002E2AB9">
        <w:rPr>
          <w:rFonts w:eastAsia="MS Mincho" w:cs="Arial"/>
          <w:sz w:val="24"/>
          <w:szCs w:val="24"/>
          <w:lang w:val="en-US"/>
        </w:rPr>
        <w:t xml:space="preserve"> are to:</w:t>
      </w:r>
    </w:p>
    <w:p w14:paraId="6D753D43" w14:textId="77777777" w:rsidR="00554F9C" w:rsidRPr="002E2AB9" w:rsidRDefault="00554F9C" w:rsidP="00554F9C">
      <w:pPr>
        <w:pStyle w:val="ListParagraph"/>
        <w:numPr>
          <w:ilvl w:val="0"/>
          <w:numId w:val="3"/>
        </w:numPr>
        <w:spacing w:before="120" w:after="120" w:line="240" w:lineRule="auto"/>
        <w:rPr>
          <w:rFonts w:eastAsia="Times New Roman" w:cs="Times New Roman"/>
          <w:sz w:val="24"/>
          <w:szCs w:val="24"/>
        </w:rPr>
      </w:pPr>
      <w:r w:rsidRPr="002E2AB9">
        <w:rPr>
          <w:rFonts w:eastAsia="Times New Roman" w:cs="Times New Roman"/>
          <w:sz w:val="24"/>
          <w:szCs w:val="24"/>
        </w:rPr>
        <w:t>Provide a framework in which sensitive discussions can take place</w:t>
      </w:r>
    </w:p>
    <w:p w14:paraId="45BC1C77" w14:textId="77777777" w:rsidR="00554F9C" w:rsidRPr="002E2AB9" w:rsidRDefault="00554F9C" w:rsidP="00554F9C">
      <w:pPr>
        <w:pStyle w:val="ListParagraph"/>
        <w:numPr>
          <w:ilvl w:val="0"/>
          <w:numId w:val="3"/>
        </w:numPr>
        <w:spacing w:before="120" w:after="120" w:line="240" w:lineRule="auto"/>
        <w:rPr>
          <w:rFonts w:eastAsia="Times New Roman" w:cs="Times New Roman"/>
          <w:sz w:val="24"/>
          <w:szCs w:val="24"/>
        </w:rPr>
      </w:pPr>
      <w:r w:rsidRPr="002E2AB9">
        <w:rPr>
          <w:rFonts w:eastAsia="Times New Roman" w:cs="Times New Roman"/>
          <w:sz w:val="24"/>
          <w:szCs w:val="24"/>
        </w:rPr>
        <w:t>Prepare pupils for puberty, and give them an understanding of sexual development and the importance of health and hygiene</w:t>
      </w:r>
    </w:p>
    <w:p w14:paraId="5C9CD513" w14:textId="77777777" w:rsidR="00554F9C" w:rsidRPr="002E2AB9" w:rsidRDefault="00554F9C" w:rsidP="00554F9C">
      <w:pPr>
        <w:pStyle w:val="ListParagraph"/>
        <w:numPr>
          <w:ilvl w:val="0"/>
          <w:numId w:val="3"/>
        </w:numPr>
        <w:spacing w:before="120" w:after="120" w:line="240" w:lineRule="auto"/>
        <w:rPr>
          <w:rFonts w:eastAsia="Times New Roman" w:cs="Times New Roman"/>
          <w:sz w:val="24"/>
          <w:szCs w:val="24"/>
        </w:rPr>
      </w:pPr>
      <w:r w:rsidRPr="002E2AB9">
        <w:rPr>
          <w:rFonts w:eastAsia="Times New Roman" w:cs="Times New Roman"/>
          <w:sz w:val="24"/>
          <w:szCs w:val="24"/>
        </w:rPr>
        <w:t>Help pupils develop feelings of self-respect, confidence and empathy</w:t>
      </w:r>
    </w:p>
    <w:p w14:paraId="07A71D90" w14:textId="77777777" w:rsidR="00554F9C" w:rsidRPr="002E2AB9" w:rsidRDefault="00554F9C" w:rsidP="00554F9C">
      <w:pPr>
        <w:pStyle w:val="ListParagraph"/>
        <w:numPr>
          <w:ilvl w:val="0"/>
          <w:numId w:val="3"/>
        </w:numPr>
        <w:spacing w:before="120" w:after="120" w:line="240" w:lineRule="auto"/>
        <w:rPr>
          <w:rFonts w:eastAsia="Times New Roman" w:cs="Times New Roman"/>
          <w:sz w:val="24"/>
          <w:szCs w:val="24"/>
        </w:rPr>
      </w:pPr>
      <w:r w:rsidRPr="002E2AB9">
        <w:rPr>
          <w:rFonts w:eastAsia="Times New Roman" w:cs="Times New Roman"/>
          <w:sz w:val="24"/>
          <w:szCs w:val="24"/>
        </w:rPr>
        <w:t>Create a positive culture around issues of sexuality and relationships</w:t>
      </w:r>
    </w:p>
    <w:p w14:paraId="3125C0C1" w14:textId="77777777" w:rsidR="00554F9C" w:rsidRPr="002E2AB9" w:rsidRDefault="00554F9C" w:rsidP="00554F9C">
      <w:pPr>
        <w:pStyle w:val="ListParagraph"/>
        <w:numPr>
          <w:ilvl w:val="0"/>
          <w:numId w:val="3"/>
        </w:numPr>
        <w:spacing w:before="120" w:after="120" w:line="240" w:lineRule="auto"/>
        <w:rPr>
          <w:rFonts w:eastAsia="Times New Roman" w:cs="Times New Roman"/>
          <w:sz w:val="24"/>
          <w:szCs w:val="24"/>
        </w:rPr>
      </w:pPr>
      <w:r w:rsidRPr="002E2AB9">
        <w:rPr>
          <w:rFonts w:eastAsia="Times New Roman" w:cs="Times New Roman"/>
          <w:sz w:val="24"/>
          <w:szCs w:val="24"/>
        </w:rPr>
        <w:t>Teach pupils the correct vocabulary to describe themselves and their bodies</w:t>
      </w:r>
    </w:p>
    <w:p w14:paraId="46395E12" w14:textId="77777777" w:rsidR="00543924" w:rsidRDefault="00543924" w:rsidP="00543924">
      <w:pPr>
        <w:pStyle w:val="ListParagraph"/>
        <w:keepNext/>
        <w:keepLines/>
        <w:spacing w:before="480" w:after="120" w:line="240" w:lineRule="auto"/>
        <w:outlineLvl w:val="0"/>
        <w:rPr>
          <w:rFonts w:eastAsia="MS Gothic" w:cs="Times New Roman"/>
          <w:b/>
          <w:bCs/>
          <w:sz w:val="24"/>
          <w:szCs w:val="24"/>
          <w:lang w:val="en-US"/>
        </w:rPr>
      </w:pPr>
    </w:p>
    <w:p w14:paraId="2CD7BD13" w14:textId="55518708" w:rsidR="00421AC5" w:rsidRPr="00543924" w:rsidRDefault="00554F9C" w:rsidP="00543924">
      <w:pPr>
        <w:pStyle w:val="ListParagraph"/>
        <w:keepNext/>
        <w:keepLines/>
        <w:numPr>
          <w:ilvl w:val="0"/>
          <w:numId w:val="5"/>
        </w:numPr>
        <w:spacing w:before="480" w:after="120" w:line="240" w:lineRule="auto"/>
        <w:outlineLvl w:val="0"/>
        <w:rPr>
          <w:rFonts w:eastAsia="MS Gothic" w:cs="Times New Roman"/>
          <w:b/>
          <w:bCs/>
          <w:sz w:val="24"/>
          <w:szCs w:val="24"/>
          <w:lang w:val="en-US"/>
        </w:rPr>
      </w:pPr>
      <w:r w:rsidRPr="00543924">
        <w:rPr>
          <w:rFonts w:eastAsia="MS Gothic" w:cs="Times New Roman"/>
          <w:b/>
          <w:bCs/>
          <w:sz w:val="24"/>
          <w:szCs w:val="24"/>
          <w:lang w:val="en-US"/>
        </w:rPr>
        <w:t>Teaching, learning and experiences within SRE</w:t>
      </w:r>
    </w:p>
    <w:p w14:paraId="4758C894" w14:textId="21DAA09F" w:rsidR="00421AC5" w:rsidRPr="002E2AB9" w:rsidRDefault="00543924" w:rsidP="00543924">
      <w:pPr>
        <w:spacing w:after="0" w:line="240" w:lineRule="auto"/>
        <w:ind w:left="720" w:hanging="720"/>
        <w:rPr>
          <w:rFonts w:eastAsia="Calibri" w:cs="Arial"/>
          <w:sz w:val="24"/>
          <w:szCs w:val="24"/>
        </w:rPr>
      </w:pPr>
      <w:r>
        <w:rPr>
          <w:rFonts w:eastAsia="Calibri" w:cs="Arial"/>
          <w:sz w:val="24"/>
          <w:szCs w:val="24"/>
        </w:rPr>
        <w:t>3.1</w:t>
      </w:r>
      <w:r>
        <w:rPr>
          <w:rFonts w:eastAsia="Calibri" w:cs="Arial"/>
          <w:sz w:val="24"/>
          <w:szCs w:val="24"/>
        </w:rPr>
        <w:tab/>
      </w:r>
      <w:r w:rsidR="00421AC5" w:rsidRPr="002E2AB9">
        <w:rPr>
          <w:rFonts w:eastAsia="Calibri" w:cs="Arial"/>
          <w:sz w:val="24"/>
          <w:szCs w:val="24"/>
        </w:rPr>
        <w:t>SRE is taught w</w:t>
      </w:r>
      <w:r w:rsidR="0025573B" w:rsidRPr="002E2AB9">
        <w:rPr>
          <w:rFonts w:eastAsia="Calibri" w:cs="Arial"/>
          <w:sz w:val="24"/>
          <w:szCs w:val="24"/>
        </w:rPr>
        <w:t xml:space="preserve">ithin the wellbeing curriculum and through PSE. </w:t>
      </w:r>
      <w:r w:rsidR="00421AC5" w:rsidRPr="002E2AB9">
        <w:rPr>
          <w:rFonts w:eastAsia="Calibri" w:cs="Arial"/>
          <w:sz w:val="24"/>
          <w:szCs w:val="24"/>
        </w:rPr>
        <w:t xml:space="preserve">Pupils also receive stand-alone sex education sessions delivered by a trained health professional. </w:t>
      </w:r>
    </w:p>
    <w:p w14:paraId="3413BAEB" w14:textId="77777777" w:rsidR="00421AC5" w:rsidRPr="002E2AB9" w:rsidRDefault="00421AC5" w:rsidP="00421AC5">
      <w:pPr>
        <w:spacing w:after="0" w:line="240" w:lineRule="auto"/>
        <w:rPr>
          <w:rFonts w:eastAsia="Calibri" w:cs="Arial"/>
          <w:sz w:val="24"/>
          <w:szCs w:val="24"/>
        </w:rPr>
      </w:pPr>
    </w:p>
    <w:p w14:paraId="73F6AB73" w14:textId="5B50C38F" w:rsidR="00421AC5" w:rsidRPr="002E2AB9" w:rsidRDefault="00543924" w:rsidP="00543924">
      <w:pPr>
        <w:spacing w:after="0" w:line="240" w:lineRule="auto"/>
        <w:ind w:left="720" w:hanging="720"/>
        <w:rPr>
          <w:rFonts w:eastAsia="Times New Roman" w:cs="Arial"/>
          <w:sz w:val="24"/>
          <w:szCs w:val="24"/>
          <w:lang w:eastAsia="en-GB"/>
        </w:rPr>
      </w:pPr>
      <w:r>
        <w:rPr>
          <w:rFonts w:eastAsia="Times New Roman" w:cs="Arial"/>
          <w:sz w:val="24"/>
          <w:szCs w:val="24"/>
          <w:lang w:eastAsia="en-GB"/>
        </w:rPr>
        <w:t>3.2</w:t>
      </w:r>
      <w:r>
        <w:rPr>
          <w:rFonts w:eastAsia="Times New Roman" w:cs="Arial"/>
          <w:sz w:val="24"/>
          <w:szCs w:val="24"/>
          <w:lang w:eastAsia="en-GB"/>
        </w:rPr>
        <w:tab/>
      </w:r>
      <w:r w:rsidR="00554F9C" w:rsidRPr="002E2AB9">
        <w:rPr>
          <w:rFonts w:eastAsia="Times New Roman" w:cs="Arial"/>
          <w:sz w:val="24"/>
          <w:szCs w:val="24"/>
          <w:lang w:eastAsia="en-GB"/>
        </w:rPr>
        <w:t>Across lower, middle and upper schools</w:t>
      </w:r>
      <w:r w:rsidR="00421AC5" w:rsidRPr="002E2AB9">
        <w:rPr>
          <w:rFonts w:eastAsia="Times New Roman" w:cs="Arial"/>
          <w:sz w:val="24"/>
          <w:szCs w:val="24"/>
          <w:lang w:eastAsia="en-GB"/>
        </w:rPr>
        <w:t>, pupils will be supported with developing the following skills:</w:t>
      </w:r>
    </w:p>
    <w:p w14:paraId="591C5210" w14:textId="77777777" w:rsidR="00421AC5" w:rsidRPr="002E2AB9" w:rsidRDefault="00421AC5" w:rsidP="00543924">
      <w:pPr>
        <w:numPr>
          <w:ilvl w:val="0"/>
          <w:numId w:val="1"/>
        </w:numPr>
        <w:spacing w:after="0" w:line="240" w:lineRule="auto"/>
        <w:ind w:left="567" w:hanging="283"/>
        <w:rPr>
          <w:rFonts w:eastAsia="Times New Roman" w:cs="Times New Roman"/>
          <w:sz w:val="24"/>
          <w:szCs w:val="24"/>
          <w:lang w:eastAsia="en-GB"/>
        </w:rPr>
      </w:pPr>
      <w:r w:rsidRPr="002E2AB9">
        <w:rPr>
          <w:rFonts w:eastAsia="Times New Roman" w:cs="Times New Roman"/>
          <w:sz w:val="24"/>
          <w:szCs w:val="24"/>
          <w:lang w:eastAsia="en-GB"/>
        </w:rPr>
        <w:t>Communication, including how to manage changing relationships and emotions</w:t>
      </w:r>
    </w:p>
    <w:p w14:paraId="2E85103F" w14:textId="77777777" w:rsidR="00421AC5" w:rsidRPr="002E2AB9" w:rsidRDefault="00421AC5" w:rsidP="00543924">
      <w:pPr>
        <w:numPr>
          <w:ilvl w:val="0"/>
          <w:numId w:val="1"/>
        </w:numPr>
        <w:spacing w:after="0" w:line="240" w:lineRule="auto"/>
        <w:ind w:left="567" w:hanging="283"/>
        <w:rPr>
          <w:rFonts w:eastAsia="Times New Roman" w:cs="Times New Roman"/>
          <w:sz w:val="24"/>
          <w:szCs w:val="24"/>
          <w:lang w:eastAsia="en-GB"/>
        </w:rPr>
      </w:pPr>
      <w:r w:rsidRPr="002E2AB9">
        <w:rPr>
          <w:rFonts w:eastAsia="Times New Roman" w:cs="Times New Roman"/>
          <w:sz w:val="24"/>
          <w:szCs w:val="24"/>
          <w:lang w:eastAsia="en-GB"/>
        </w:rPr>
        <w:t>Recognising and assessing potential risks</w:t>
      </w:r>
    </w:p>
    <w:p w14:paraId="41CD11F6" w14:textId="77777777" w:rsidR="00421AC5" w:rsidRPr="002E2AB9" w:rsidRDefault="00421AC5" w:rsidP="00543924">
      <w:pPr>
        <w:numPr>
          <w:ilvl w:val="0"/>
          <w:numId w:val="1"/>
        </w:numPr>
        <w:spacing w:after="0" w:line="240" w:lineRule="auto"/>
        <w:ind w:left="567" w:hanging="283"/>
        <w:rPr>
          <w:rFonts w:eastAsia="Times New Roman" w:cs="Times New Roman"/>
          <w:sz w:val="24"/>
          <w:szCs w:val="24"/>
          <w:lang w:eastAsia="en-GB"/>
        </w:rPr>
      </w:pPr>
      <w:r w:rsidRPr="002E2AB9">
        <w:rPr>
          <w:rFonts w:eastAsia="Times New Roman" w:cs="Times New Roman"/>
          <w:sz w:val="24"/>
          <w:szCs w:val="24"/>
          <w:lang w:eastAsia="en-GB"/>
        </w:rPr>
        <w:t>Assertiveness</w:t>
      </w:r>
    </w:p>
    <w:p w14:paraId="7336D25F" w14:textId="77777777" w:rsidR="00421AC5" w:rsidRPr="002E2AB9" w:rsidRDefault="00421AC5" w:rsidP="00543924">
      <w:pPr>
        <w:numPr>
          <w:ilvl w:val="0"/>
          <w:numId w:val="1"/>
        </w:numPr>
        <w:spacing w:after="0" w:line="240" w:lineRule="auto"/>
        <w:ind w:left="567" w:hanging="283"/>
        <w:rPr>
          <w:rFonts w:eastAsia="Times New Roman" w:cs="Times New Roman"/>
          <w:sz w:val="24"/>
          <w:szCs w:val="24"/>
          <w:lang w:eastAsia="en-GB"/>
        </w:rPr>
      </w:pPr>
      <w:r w:rsidRPr="002E2AB9">
        <w:rPr>
          <w:rFonts w:eastAsia="Times New Roman" w:cs="Times New Roman"/>
          <w:sz w:val="24"/>
          <w:szCs w:val="24"/>
          <w:lang w:eastAsia="en-GB"/>
        </w:rPr>
        <w:t>Seeking help and support when required</w:t>
      </w:r>
    </w:p>
    <w:p w14:paraId="193175B5" w14:textId="77777777" w:rsidR="00421AC5" w:rsidRPr="002E2AB9" w:rsidRDefault="00421AC5" w:rsidP="00543924">
      <w:pPr>
        <w:numPr>
          <w:ilvl w:val="0"/>
          <w:numId w:val="1"/>
        </w:numPr>
        <w:spacing w:after="0" w:line="240" w:lineRule="auto"/>
        <w:ind w:left="567" w:hanging="283"/>
        <w:rPr>
          <w:rFonts w:eastAsia="Times New Roman" w:cs="Times New Roman"/>
          <w:sz w:val="24"/>
          <w:szCs w:val="24"/>
          <w:lang w:eastAsia="en-GB"/>
        </w:rPr>
      </w:pPr>
      <w:r w:rsidRPr="002E2AB9">
        <w:rPr>
          <w:rFonts w:eastAsia="Times New Roman" w:cs="Times New Roman"/>
          <w:sz w:val="24"/>
          <w:szCs w:val="24"/>
          <w:lang w:eastAsia="en-GB"/>
        </w:rPr>
        <w:t>Informed decision-making</w:t>
      </w:r>
    </w:p>
    <w:p w14:paraId="197D6983" w14:textId="77777777" w:rsidR="00421AC5" w:rsidRPr="002E2AB9" w:rsidRDefault="00421AC5" w:rsidP="00543924">
      <w:pPr>
        <w:numPr>
          <w:ilvl w:val="0"/>
          <w:numId w:val="1"/>
        </w:numPr>
        <w:spacing w:after="0" w:line="240" w:lineRule="auto"/>
        <w:ind w:left="567" w:hanging="283"/>
        <w:rPr>
          <w:rFonts w:eastAsia="Times New Roman" w:cs="Times New Roman"/>
          <w:sz w:val="24"/>
          <w:szCs w:val="24"/>
          <w:lang w:eastAsia="en-GB"/>
        </w:rPr>
      </w:pPr>
      <w:r w:rsidRPr="002E2AB9">
        <w:rPr>
          <w:rFonts w:eastAsia="Times New Roman" w:cs="Times New Roman"/>
          <w:sz w:val="24"/>
          <w:szCs w:val="24"/>
          <w:lang w:eastAsia="en-GB"/>
        </w:rPr>
        <w:t>Self-respect and empathy for others</w:t>
      </w:r>
    </w:p>
    <w:p w14:paraId="7B458860" w14:textId="77777777" w:rsidR="00421AC5" w:rsidRPr="002E2AB9" w:rsidRDefault="00421AC5" w:rsidP="00543924">
      <w:pPr>
        <w:numPr>
          <w:ilvl w:val="0"/>
          <w:numId w:val="1"/>
        </w:numPr>
        <w:spacing w:after="0" w:line="240" w:lineRule="auto"/>
        <w:ind w:left="567" w:hanging="283"/>
        <w:rPr>
          <w:rFonts w:eastAsia="Times New Roman" w:cs="Times New Roman"/>
          <w:sz w:val="24"/>
          <w:szCs w:val="24"/>
          <w:lang w:eastAsia="en-GB"/>
        </w:rPr>
      </w:pPr>
      <w:r w:rsidRPr="002E2AB9">
        <w:rPr>
          <w:rFonts w:eastAsia="Times New Roman" w:cs="Times New Roman"/>
          <w:sz w:val="24"/>
          <w:szCs w:val="24"/>
          <w:lang w:eastAsia="en-GB"/>
        </w:rPr>
        <w:t>Recognising and maximising a healthy lifestyle</w:t>
      </w:r>
    </w:p>
    <w:p w14:paraId="358DB726" w14:textId="77777777" w:rsidR="00421AC5" w:rsidRPr="002E2AB9" w:rsidRDefault="00421AC5" w:rsidP="00543924">
      <w:pPr>
        <w:numPr>
          <w:ilvl w:val="0"/>
          <w:numId w:val="1"/>
        </w:numPr>
        <w:spacing w:after="0" w:line="240" w:lineRule="auto"/>
        <w:ind w:left="567" w:hanging="283"/>
        <w:rPr>
          <w:rFonts w:eastAsia="Times New Roman" w:cs="Times New Roman"/>
          <w:sz w:val="24"/>
          <w:szCs w:val="24"/>
          <w:lang w:eastAsia="en-GB"/>
        </w:rPr>
      </w:pPr>
      <w:r w:rsidRPr="002E2AB9">
        <w:rPr>
          <w:rFonts w:eastAsia="Times New Roman" w:cs="Times New Roman"/>
          <w:sz w:val="24"/>
          <w:szCs w:val="24"/>
          <w:lang w:eastAsia="en-GB"/>
        </w:rPr>
        <w:t>Managing conflict</w:t>
      </w:r>
    </w:p>
    <w:p w14:paraId="18B7F26A" w14:textId="77777777" w:rsidR="00421AC5" w:rsidRPr="002E2AB9" w:rsidRDefault="00421AC5" w:rsidP="00543924">
      <w:pPr>
        <w:numPr>
          <w:ilvl w:val="0"/>
          <w:numId w:val="1"/>
        </w:numPr>
        <w:spacing w:after="0" w:line="240" w:lineRule="auto"/>
        <w:ind w:left="567" w:hanging="283"/>
        <w:rPr>
          <w:rFonts w:eastAsia="Times New Roman" w:cs="Times New Roman"/>
          <w:sz w:val="24"/>
          <w:szCs w:val="24"/>
          <w:lang w:eastAsia="en-GB"/>
        </w:rPr>
      </w:pPr>
      <w:r w:rsidRPr="002E2AB9">
        <w:rPr>
          <w:rFonts w:eastAsia="Times New Roman" w:cs="Times New Roman"/>
          <w:sz w:val="24"/>
          <w:szCs w:val="24"/>
          <w:lang w:eastAsia="en-GB"/>
        </w:rPr>
        <w:lastRenderedPageBreak/>
        <w:t>Discussion and group work</w:t>
      </w:r>
    </w:p>
    <w:p w14:paraId="50754EEB" w14:textId="1F0FEDE8" w:rsidR="00421AC5" w:rsidRPr="002E2AB9" w:rsidRDefault="00543924" w:rsidP="00543924">
      <w:pPr>
        <w:spacing w:before="120" w:after="120" w:line="240" w:lineRule="auto"/>
        <w:ind w:left="567" w:hanging="567"/>
        <w:rPr>
          <w:rFonts w:eastAsia="Calibri" w:cs="Times New Roman"/>
          <w:sz w:val="24"/>
          <w:szCs w:val="24"/>
        </w:rPr>
      </w:pPr>
      <w:r>
        <w:rPr>
          <w:rFonts w:eastAsia="Calibri" w:cs="Times New Roman"/>
          <w:sz w:val="24"/>
          <w:szCs w:val="24"/>
        </w:rPr>
        <w:t>3.3</w:t>
      </w:r>
      <w:r>
        <w:rPr>
          <w:rFonts w:eastAsia="Calibri" w:cs="Times New Roman"/>
          <w:sz w:val="24"/>
          <w:szCs w:val="24"/>
        </w:rPr>
        <w:tab/>
      </w:r>
      <w:r w:rsidR="00421AC5" w:rsidRPr="002E2AB9">
        <w:rPr>
          <w:rFonts w:eastAsia="Calibri" w:cs="Times New Roman"/>
          <w:sz w:val="24"/>
          <w:szCs w:val="24"/>
        </w:rPr>
        <w:t>Staff do not have the right to opt out of teaching SRE. Staff who have concerns about teaching SRE are encouraged to discuss this with the headteacher.</w:t>
      </w:r>
    </w:p>
    <w:p w14:paraId="72C49A95" w14:textId="4126AD3B" w:rsidR="00421AC5" w:rsidRPr="002E2AB9" w:rsidRDefault="00543924" w:rsidP="00421AC5">
      <w:pPr>
        <w:keepNext/>
        <w:keepLines/>
        <w:spacing w:before="480" w:after="120" w:line="240" w:lineRule="auto"/>
        <w:outlineLvl w:val="0"/>
        <w:rPr>
          <w:rFonts w:eastAsia="MS Gothic" w:cs="Times New Roman"/>
          <w:b/>
          <w:bCs/>
          <w:sz w:val="24"/>
          <w:szCs w:val="24"/>
          <w:lang w:val="en-US"/>
        </w:rPr>
      </w:pPr>
      <w:bookmarkStart w:id="3" w:name="_Toc492991527"/>
      <w:r>
        <w:rPr>
          <w:rFonts w:eastAsia="MS Gothic" w:cs="Times New Roman"/>
          <w:b/>
          <w:bCs/>
          <w:sz w:val="24"/>
          <w:szCs w:val="24"/>
          <w:lang w:val="en-US"/>
        </w:rPr>
        <w:t>4.</w:t>
      </w:r>
      <w:r>
        <w:rPr>
          <w:rFonts w:eastAsia="MS Gothic" w:cs="Times New Roman"/>
          <w:b/>
          <w:bCs/>
          <w:sz w:val="24"/>
          <w:szCs w:val="24"/>
          <w:lang w:val="en-US"/>
        </w:rPr>
        <w:tab/>
      </w:r>
      <w:r w:rsidR="00421AC5" w:rsidRPr="002E2AB9">
        <w:rPr>
          <w:rFonts w:eastAsia="MS Gothic" w:cs="Times New Roman"/>
          <w:b/>
          <w:bCs/>
          <w:sz w:val="24"/>
          <w:szCs w:val="24"/>
          <w:lang w:val="en-US"/>
        </w:rPr>
        <w:t>Parents’ right to withdraw</w:t>
      </w:r>
      <w:bookmarkEnd w:id="3"/>
    </w:p>
    <w:p w14:paraId="7B6B438E" w14:textId="713E9DA5" w:rsidR="00421AC5" w:rsidRPr="002E2AB9" w:rsidRDefault="00543924" w:rsidP="00421AC5">
      <w:pPr>
        <w:spacing w:before="120" w:after="120" w:line="240" w:lineRule="auto"/>
        <w:rPr>
          <w:rFonts w:eastAsia="MS Mincho" w:cs="Times New Roman"/>
          <w:color w:val="F15F22"/>
          <w:sz w:val="24"/>
          <w:szCs w:val="24"/>
          <w:lang w:val="en-US"/>
        </w:rPr>
      </w:pPr>
      <w:r>
        <w:rPr>
          <w:rFonts w:eastAsia="MS Mincho" w:cs="Times New Roman"/>
          <w:sz w:val="24"/>
          <w:szCs w:val="24"/>
          <w:lang w:val="en-US"/>
        </w:rPr>
        <w:t>4.1</w:t>
      </w:r>
      <w:r>
        <w:rPr>
          <w:rFonts w:eastAsia="MS Mincho" w:cs="Times New Roman"/>
          <w:sz w:val="24"/>
          <w:szCs w:val="24"/>
          <w:lang w:val="en-US"/>
        </w:rPr>
        <w:tab/>
      </w:r>
      <w:r w:rsidR="00421AC5" w:rsidRPr="002E2AB9">
        <w:rPr>
          <w:rFonts w:eastAsia="MS Mincho" w:cs="Times New Roman"/>
          <w:sz w:val="24"/>
          <w:szCs w:val="24"/>
          <w:lang w:val="en-US"/>
        </w:rPr>
        <w:t>Parents have the right to withdraw their children from the components of SRE.</w:t>
      </w:r>
    </w:p>
    <w:p w14:paraId="78F4D6BC" w14:textId="42A14267" w:rsidR="00421AC5" w:rsidRPr="002E2AB9" w:rsidRDefault="00543924" w:rsidP="00543924">
      <w:pPr>
        <w:spacing w:before="120" w:after="120" w:line="240" w:lineRule="auto"/>
        <w:ind w:left="720" w:hanging="720"/>
        <w:rPr>
          <w:rFonts w:eastAsia="Calibri" w:cs="Arial"/>
          <w:sz w:val="24"/>
          <w:szCs w:val="24"/>
        </w:rPr>
      </w:pPr>
      <w:r>
        <w:rPr>
          <w:rFonts w:eastAsia="MS Mincho" w:cs="Times New Roman"/>
          <w:sz w:val="24"/>
          <w:szCs w:val="24"/>
          <w:lang w:val="en-US"/>
        </w:rPr>
        <w:t>4.2</w:t>
      </w:r>
      <w:r>
        <w:rPr>
          <w:rFonts w:eastAsia="MS Mincho" w:cs="Times New Roman"/>
          <w:sz w:val="24"/>
          <w:szCs w:val="24"/>
          <w:lang w:val="en-US"/>
        </w:rPr>
        <w:tab/>
      </w:r>
      <w:r w:rsidR="00421AC5" w:rsidRPr="002E2AB9">
        <w:rPr>
          <w:rFonts w:eastAsia="MS Mincho" w:cs="Times New Roman"/>
          <w:sz w:val="24"/>
          <w:szCs w:val="24"/>
          <w:lang w:val="en-US"/>
        </w:rPr>
        <w:t xml:space="preserve">Requests for withdrawal should be put in writing and addressed to the headteacher. A copy of withdrawal requests will be placed in the pupil’s educational record. The headteacher will discuss the request with parents and take appropriate action. </w:t>
      </w:r>
      <w:r w:rsidR="00421AC5" w:rsidRPr="002E2AB9">
        <w:rPr>
          <w:rFonts w:eastAsia="Calibri" w:cs="Arial"/>
          <w:sz w:val="24"/>
          <w:szCs w:val="24"/>
        </w:rPr>
        <w:t xml:space="preserve">Alternative work will be given to pupils who are withdrawn from SRE.  </w:t>
      </w:r>
    </w:p>
    <w:p w14:paraId="63DED119" w14:textId="2DF55241" w:rsidR="00421AC5" w:rsidRPr="002E2AB9" w:rsidRDefault="00421AC5" w:rsidP="00421AC5">
      <w:pPr>
        <w:keepNext/>
        <w:keepLines/>
        <w:spacing w:before="480" w:after="120" w:line="240" w:lineRule="auto"/>
        <w:outlineLvl w:val="0"/>
        <w:rPr>
          <w:rFonts w:eastAsia="MS Gothic" w:cs="Times New Roman"/>
          <w:b/>
          <w:bCs/>
          <w:sz w:val="24"/>
          <w:szCs w:val="24"/>
          <w:lang w:val="en-US"/>
        </w:rPr>
      </w:pPr>
      <w:bookmarkStart w:id="4" w:name="_Toc492991529"/>
      <w:r w:rsidRPr="002E2AB9">
        <w:rPr>
          <w:rFonts w:eastAsia="MS Gothic" w:cs="Times New Roman"/>
          <w:b/>
          <w:bCs/>
          <w:sz w:val="24"/>
          <w:szCs w:val="24"/>
          <w:lang w:val="en-US"/>
        </w:rPr>
        <w:t>Monitoring arrangements</w:t>
      </w:r>
      <w:bookmarkEnd w:id="4"/>
    </w:p>
    <w:p w14:paraId="76088E03" w14:textId="2E628A27" w:rsidR="00421AC5" w:rsidRPr="002E2AB9" w:rsidRDefault="00421AC5" w:rsidP="00421AC5">
      <w:pPr>
        <w:spacing w:before="120" w:after="120" w:line="240" w:lineRule="auto"/>
        <w:rPr>
          <w:rFonts w:eastAsia="MS Mincho" w:cs="Times New Roman"/>
          <w:sz w:val="24"/>
          <w:szCs w:val="24"/>
          <w:lang w:val="en-US"/>
        </w:rPr>
      </w:pPr>
      <w:r w:rsidRPr="002E2AB9">
        <w:rPr>
          <w:rFonts w:eastAsia="MS Mincho" w:cs="Times New Roman"/>
          <w:sz w:val="24"/>
          <w:szCs w:val="24"/>
          <w:lang w:val="en-US"/>
        </w:rPr>
        <w:t>The delivery of SRE is monitored</w:t>
      </w:r>
      <w:r w:rsidR="00543924">
        <w:rPr>
          <w:rFonts w:eastAsia="MS Mincho" w:cs="Times New Roman"/>
          <w:sz w:val="24"/>
          <w:szCs w:val="24"/>
          <w:lang w:val="en-US"/>
        </w:rPr>
        <w:t xml:space="preserve"> by the faculty of life within the school’s quality framework. </w:t>
      </w:r>
    </w:p>
    <w:p w14:paraId="5A2D9B83" w14:textId="67E30196" w:rsidR="00E73A00" w:rsidRDefault="00E73A00">
      <w:pPr>
        <w:rPr>
          <w:sz w:val="24"/>
          <w:szCs w:val="24"/>
        </w:rPr>
      </w:pPr>
      <w:r>
        <w:rPr>
          <w:sz w:val="24"/>
          <w:szCs w:val="24"/>
        </w:rPr>
        <w:br w:type="page"/>
      </w:r>
    </w:p>
    <w:p w14:paraId="4F5B6D8B" w14:textId="77777777" w:rsidR="00E73A00" w:rsidRPr="00C45C9C" w:rsidRDefault="00E73A00" w:rsidP="00E73A00">
      <w:pPr>
        <w:spacing w:after="0" w:line="240" w:lineRule="auto"/>
        <w:jc w:val="center"/>
        <w:rPr>
          <w:rFonts w:eastAsia="Times New Roman" w:cs="Calibri"/>
          <w:b/>
          <w:szCs w:val="20"/>
        </w:rPr>
      </w:pPr>
      <w:r w:rsidRPr="00C45C9C">
        <w:rPr>
          <w:rFonts w:eastAsia="Times New Roman" w:cs="Calibri"/>
          <w:b/>
          <w:szCs w:val="20"/>
        </w:rPr>
        <w:lastRenderedPageBreak/>
        <w:t>Workload Impact Assessment</w:t>
      </w:r>
    </w:p>
    <w:p w14:paraId="01865DF8" w14:textId="77777777" w:rsidR="00E73A00" w:rsidRPr="00C45C9C" w:rsidRDefault="00E73A00" w:rsidP="00E73A00">
      <w:pPr>
        <w:widowControl w:val="0"/>
        <w:spacing w:after="0" w:line="240" w:lineRule="auto"/>
        <w:jc w:val="center"/>
        <w:rPr>
          <w:rFonts w:eastAsia="Times New Roman" w:cs="Calibri"/>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397"/>
      </w:tblGrid>
      <w:tr w:rsidR="00E73A00" w:rsidRPr="00C45C9C" w14:paraId="7D707903" w14:textId="77777777" w:rsidTr="00B63E0D">
        <w:trPr>
          <w:trHeight w:val="454"/>
        </w:trPr>
        <w:tc>
          <w:tcPr>
            <w:tcW w:w="5245" w:type="dxa"/>
          </w:tcPr>
          <w:p w14:paraId="1ACF98DC" w14:textId="77777777" w:rsidR="00E73A00" w:rsidRPr="00C45C9C" w:rsidRDefault="00E73A00" w:rsidP="00E73A00">
            <w:pPr>
              <w:widowControl w:val="0"/>
              <w:spacing w:after="0" w:line="240" w:lineRule="auto"/>
              <w:rPr>
                <w:rFonts w:eastAsia="Times New Roman" w:cs="Calibri"/>
                <w:b/>
                <w:szCs w:val="20"/>
              </w:rPr>
            </w:pPr>
            <w:r w:rsidRPr="00C45C9C">
              <w:rPr>
                <w:rFonts w:eastAsia="Times New Roman" w:cs="Calibri"/>
                <w:b/>
                <w:szCs w:val="20"/>
              </w:rPr>
              <w:t>Policy name:</w:t>
            </w:r>
          </w:p>
        </w:tc>
        <w:tc>
          <w:tcPr>
            <w:tcW w:w="5103" w:type="dxa"/>
          </w:tcPr>
          <w:p w14:paraId="2927F861" w14:textId="77777777" w:rsidR="00E73A00" w:rsidRPr="00C45C9C" w:rsidRDefault="00E73A00" w:rsidP="00E73A00">
            <w:pPr>
              <w:widowControl w:val="0"/>
              <w:spacing w:after="0" w:line="240" w:lineRule="auto"/>
              <w:rPr>
                <w:rFonts w:eastAsia="Times New Roman" w:cs="Calibri"/>
                <w:b/>
                <w:szCs w:val="20"/>
              </w:rPr>
            </w:pPr>
            <w:r>
              <w:rPr>
                <w:rFonts w:eastAsia="Times New Roman" w:cs="Calibri"/>
                <w:b/>
                <w:szCs w:val="20"/>
              </w:rPr>
              <w:t>Accessibility Plan</w:t>
            </w:r>
          </w:p>
        </w:tc>
      </w:tr>
      <w:tr w:rsidR="00E73A00" w:rsidRPr="00C45C9C" w14:paraId="7054F538" w14:textId="77777777" w:rsidTr="00B63E0D">
        <w:trPr>
          <w:trHeight w:val="454"/>
        </w:trPr>
        <w:tc>
          <w:tcPr>
            <w:tcW w:w="5245" w:type="dxa"/>
          </w:tcPr>
          <w:p w14:paraId="5EDF737E" w14:textId="77777777" w:rsidR="00E73A00" w:rsidRPr="00C45C9C" w:rsidRDefault="00E73A00" w:rsidP="00E73A00">
            <w:pPr>
              <w:widowControl w:val="0"/>
              <w:spacing w:after="0" w:line="240" w:lineRule="auto"/>
              <w:rPr>
                <w:rFonts w:eastAsia="Times New Roman" w:cs="Calibri"/>
                <w:b/>
                <w:szCs w:val="20"/>
              </w:rPr>
            </w:pPr>
            <w:r w:rsidRPr="00C45C9C">
              <w:rPr>
                <w:rFonts w:eastAsia="Times New Roman" w:cs="Calibri"/>
                <w:b/>
                <w:szCs w:val="20"/>
              </w:rPr>
              <w:t>Date of assessment:</w:t>
            </w:r>
          </w:p>
        </w:tc>
        <w:tc>
          <w:tcPr>
            <w:tcW w:w="5103" w:type="dxa"/>
          </w:tcPr>
          <w:p w14:paraId="3D5E93B2" w14:textId="77777777" w:rsidR="00E73A00" w:rsidRPr="00C45C9C" w:rsidRDefault="00E73A00" w:rsidP="00E73A00">
            <w:pPr>
              <w:widowControl w:val="0"/>
              <w:spacing w:after="0" w:line="240" w:lineRule="auto"/>
              <w:rPr>
                <w:rFonts w:eastAsia="Times New Roman" w:cs="Calibri"/>
                <w:b/>
                <w:szCs w:val="20"/>
              </w:rPr>
            </w:pPr>
          </w:p>
        </w:tc>
      </w:tr>
      <w:tr w:rsidR="00E73A00" w:rsidRPr="00C45C9C" w14:paraId="026CCBE1" w14:textId="77777777" w:rsidTr="00B63E0D">
        <w:trPr>
          <w:trHeight w:val="454"/>
        </w:trPr>
        <w:tc>
          <w:tcPr>
            <w:tcW w:w="5245" w:type="dxa"/>
          </w:tcPr>
          <w:p w14:paraId="06505238" w14:textId="77777777" w:rsidR="00E73A00" w:rsidRPr="00C45C9C" w:rsidRDefault="00E73A00" w:rsidP="00E73A00">
            <w:pPr>
              <w:widowControl w:val="0"/>
              <w:spacing w:after="0" w:line="240" w:lineRule="auto"/>
              <w:rPr>
                <w:rFonts w:eastAsia="Times New Roman" w:cs="Calibri"/>
                <w:b/>
                <w:szCs w:val="20"/>
              </w:rPr>
            </w:pPr>
            <w:r w:rsidRPr="00C45C9C">
              <w:rPr>
                <w:rFonts w:eastAsia="Times New Roman" w:cs="Calibri"/>
                <w:b/>
                <w:szCs w:val="20"/>
              </w:rPr>
              <w:t>Assessed by:</w:t>
            </w:r>
          </w:p>
        </w:tc>
        <w:tc>
          <w:tcPr>
            <w:tcW w:w="5103" w:type="dxa"/>
          </w:tcPr>
          <w:p w14:paraId="526EDEF9" w14:textId="77777777" w:rsidR="00E73A00" w:rsidRPr="00C45C9C" w:rsidRDefault="00E73A00" w:rsidP="00E73A00">
            <w:pPr>
              <w:widowControl w:val="0"/>
              <w:spacing w:after="0" w:line="240" w:lineRule="auto"/>
              <w:rPr>
                <w:rFonts w:eastAsia="Times New Roman" w:cs="Calibri"/>
                <w:b/>
                <w:szCs w:val="20"/>
              </w:rPr>
            </w:pPr>
          </w:p>
        </w:tc>
      </w:tr>
    </w:tbl>
    <w:p w14:paraId="22D62CEA" w14:textId="77777777" w:rsidR="00E73A00" w:rsidRPr="00C45C9C" w:rsidRDefault="00E73A00" w:rsidP="00E73A00">
      <w:pPr>
        <w:widowControl w:val="0"/>
        <w:spacing w:after="0" w:line="240" w:lineRule="auto"/>
        <w:rPr>
          <w:rFonts w:eastAsia="Times New Roman" w:cs="Calibri"/>
          <w:sz w:val="48"/>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E73A00" w:rsidRPr="00C45C9C" w14:paraId="6116481F" w14:textId="77777777" w:rsidTr="00B63E0D">
        <w:trPr>
          <w:trHeight w:val="904"/>
          <w:jc w:val="center"/>
        </w:trPr>
        <w:tc>
          <w:tcPr>
            <w:tcW w:w="8908" w:type="dxa"/>
            <w:vAlign w:val="center"/>
          </w:tcPr>
          <w:p w14:paraId="0D85CD01" w14:textId="77777777" w:rsidR="00E73A00" w:rsidRPr="00C45C9C" w:rsidRDefault="00E73A00" w:rsidP="00B63E0D">
            <w:pPr>
              <w:widowControl w:val="0"/>
              <w:rPr>
                <w:rFonts w:eastAsia="Times New Roman" w:cs="Calibri"/>
                <w:szCs w:val="20"/>
              </w:rPr>
            </w:pPr>
            <w:r w:rsidRPr="00C45C9C">
              <w:rPr>
                <w:rFonts w:eastAsia="Times New Roman" w:cs="Calibri"/>
                <w:szCs w:val="20"/>
              </w:rPr>
              <w:t>The policy complies with and is consistent with the teachers’ contractual entitlements.</w:t>
            </w:r>
          </w:p>
        </w:tc>
      </w:tr>
      <w:tr w:rsidR="00E73A00" w:rsidRPr="00C45C9C" w14:paraId="73982C51" w14:textId="77777777" w:rsidTr="00B63E0D">
        <w:trPr>
          <w:trHeight w:val="904"/>
          <w:jc w:val="center"/>
        </w:trPr>
        <w:tc>
          <w:tcPr>
            <w:tcW w:w="8908" w:type="dxa"/>
            <w:vAlign w:val="center"/>
          </w:tcPr>
          <w:p w14:paraId="2ED9C646" w14:textId="77777777" w:rsidR="00E73A00" w:rsidRPr="00C45C9C" w:rsidRDefault="00E73A00" w:rsidP="00B63E0D">
            <w:pPr>
              <w:widowControl w:val="0"/>
              <w:rPr>
                <w:rFonts w:eastAsia="Times New Roman" w:cs="Calibri"/>
                <w:szCs w:val="20"/>
              </w:rPr>
            </w:pPr>
            <w:r w:rsidRPr="00C45C9C">
              <w:rPr>
                <w:rFonts w:eastAsia="Times New Roman" w:cs="Calibri"/>
                <w:szCs w:val="20"/>
              </w:rPr>
              <w:t>The policy and any related procedures were introduced following full consultation with the each union.</w:t>
            </w:r>
          </w:p>
        </w:tc>
      </w:tr>
      <w:tr w:rsidR="00E73A00" w:rsidRPr="00C45C9C" w14:paraId="196A2389" w14:textId="77777777" w:rsidTr="00B63E0D">
        <w:trPr>
          <w:trHeight w:val="904"/>
          <w:jc w:val="center"/>
        </w:trPr>
        <w:tc>
          <w:tcPr>
            <w:tcW w:w="8908" w:type="dxa"/>
            <w:vAlign w:val="center"/>
          </w:tcPr>
          <w:p w14:paraId="2FE904CE" w14:textId="77777777" w:rsidR="00E73A00" w:rsidRPr="00C45C9C" w:rsidRDefault="00E73A00" w:rsidP="00B63E0D">
            <w:pPr>
              <w:widowControl w:val="0"/>
              <w:rPr>
                <w:rFonts w:eastAsia="Times New Roman" w:cs="Calibri"/>
                <w:szCs w:val="20"/>
              </w:rPr>
            </w:pPr>
            <w:r w:rsidRPr="00C45C9C">
              <w:rPr>
                <w:rFonts w:eastAsia="Times New Roman" w:cs="Calibri"/>
                <w:szCs w:val="20"/>
              </w:rPr>
              <w:t>The policy and any related procedures include a specific statement regarding workload impact.</w:t>
            </w:r>
          </w:p>
        </w:tc>
      </w:tr>
      <w:tr w:rsidR="00E73A00" w:rsidRPr="00C45C9C" w14:paraId="55B1E30B" w14:textId="77777777" w:rsidTr="00B63E0D">
        <w:trPr>
          <w:trHeight w:val="904"/>
          <w:jc w:val="center"/>
        </w:trPr>
        <w:tc>
          <w:tcPr>
            <w:tcW w:w="8908" w:type="dxa"/>
            <w:vAlign w:val="center"/>
          </w:tcPr>
          <w:p w14:paraId="17E20A4D" w14:textId="77777777" w:rsidR="00E73A00" w:rsidRPr="00C45C9C" w:rsidRDefault="00E73A00" w:rsidP="00B63E0D">
            <w:pPr>
              <w:widowControl w:val="0"/>
              <w:rPr>
                <w:rFonts w:eastAsia="Times New Roman" w:cs="Calibri"/>
                <w:szCs w:val="20"/>
              </w:rPr>
            </w:pPr>
            <w:r w:rsidRPr="00C45C9C">
              <w:rPr>
                <w:rFonts w:eastAsia="Times New Roman" w:cs="Calibri"/>
                <w:szCs w:val="20"/>
              </w:rPr>
              <w:t>The policy has been piloted/trailed/evaluated to enable an assessment of workload impact to be made.</w:t>
            </w:r>
          </w:p>
        </w:tc>
      </w:tr>
      <w:tr w:rsidR="00E73A00" w:rsidRPr="00C45C9C" w14:paraId="1375BFEC" w14:textId="77777777" w:rsidTr="00B63E0D">
        <w:trPr>
          <w:trHeight w:val="904"/>
          <w:jc w:val="center"/>
        </w:trPr>
        <w:tc>
          <w:tcPr>
            <w:tcW w:w="8908" w:type="dxa"/>
            <w:vAlign w:val="center"/>
          </w:tcPr>
          <w:p w14:paraId="24600A3E" w14:textId="77777777" w:rsidR="00E73A00" w:rsidRPr="00C45C9C" w:rsidRDefault="00E73A00" w:rsidP="00B63E0D">
            <w:pPr>
              <w:widowControl w:val="0"/>
              <w:rPr>
                <w:rFonts w:eastAsia="Times New Roman" w:cs="Calibri"/>
                <w:szCs w:val="20"/>
              </w:rPr>
            </w:pPr>
            <w:r w:rsidRPr="00C45C9C">
              <w:rPr>
                <w:rFonts w:eastAsia="Times New Roman" w:cs="Calibri"/>
                <w:szCs w:val="20"/>
              </w:rPr>
              <w:t>The impact of the policy and related procedures is that they have not added additional hours of working</w:t>
            </w:r>
          </w:p>
        </w:tc>
      </w:tr>
      <w:tr w:rsidR="00E73A00" w:rsidRPr="00C45C9C" w14:paraId="557B624C" w14:textId="77777777" w:rsidTr="00B63E0D">
        <w:trPr>
          <w:trHeight w:val="904"/>
          <w:jc w:val="center"/>
        </w:trPr>
        <w:tc>
          <w:tcPr>
            <w:tcW w:w="8908" w:type="dxa"/>
            <w:vAlign w:val="center"/>
          </w:tcPr>
          <w:p w14:paraId="27507A95" w14:textId="77777777" w:rsidR="00E73A00" w:rsidRPr="00C45C9C" w:rsidRDefault="00E73A00" w:rsidP="00B63E0D">
            <w:pPr>
              <w:widowControl w:val="0"/>
              <w:rPr>
                <w:rFonts w:eastAsia="Times New Roman" w:cs="Calibri"/>
                <w:szCs w:val="20"/>
              </w:rPr>
            </w:pPr>
            <w:r w:rsidRPr="00C45C9C">
              <w:rPr>
                <w:rFonts w:eastAsia="Times New Roman" w:cs="Calibri"/>
                <w:szCs w:val="20"/>
              </w:rPr>
              <w:t>The policy does not duplicate any other existing policy.</w:t>
            </w:r>
          </w:p>
        </w:tc>
      </w:tr>
      <w:tr w:rsidR="00E73A00" w:rsidRPr="00C45C9C" w14:paraId="5E6251E3" w14:textId="77777777" w:rsidTr="00B63E0D">
        <w:trPr>
          <w:trHeight w:val="904"/>
          <w:jc w:val="center"/>
        </w:trPr>
        <w:tc>
          <w:tcPr>
            <w:tcW w:w="8908" w:type="dxa"/>
            <w:vAlign w:val="center"/>
          </w:tcPr>
          <w:p w14:paraId="7976D1FA" w14:textId="77777777" w:rsidR="00E73A00" w:rsidRPr="00C45C9C" w:rsidRDefault="00E73A00" w:rsidP="00B63E0D">
            <w:pPr>
              <w:widowControl w:val="0"/>
              <w:rPr>
                <w:rFonts w:eastAsia="Times New Roman" w:cs="Calibri"/>
                <w:szCs w:val="20"/>
              </w:rPr>
            </w:pPr>
            <w:r w:rsidRPr="00C45C9C">
              <w:rPr>
                <w:rFonts w:eastAsia="Times New Roman" w:cs="Calibri"/>
                <w:szCs w:val="20"/>
              </w:rPr>
              <w:t>All policy has been reviewed in order to access whether any outdated and unnecessary.</w:t>
            </w:r>
          </w:p>
        </w:tc>
      </w:tr>
      <w:tr w:rsidR="00E73A00" w:rsidRPr="00C45C9C" w14:paraId="14DA49EB" w14:textId="77777777" w:rsidTr="00B63E0D">
        <w:trPr>
          <w:trHeight w:val="904"/>
          <w:jc w:val="center"/>
        </w:trPr>
        <w:tc>
          <w:tcPr>
            <w:tcW w:w="8908" w:type="dxa"/>
            <w:vAlign w:val="center"/>
          </w:tcPr>
          <w:p w14:paraId="7CEC6B38" w14:textId="77777777" w:rsidR="00E73A00" w:rsidRPr="00C45C9C" w:rsidRDefault="00E73A00" w:rsidP="00B63E0D">
            <w:pPr>
              <w:widowControl w:val="0"/>
              <w:rPr>
                <w:rFonts w:eastAsia="Times New Roman" w:cs="Calibri"/>
                <w:szCs w:val="20"/>
              </w:rPr>
            </w:pPr>
            <w:r w:rsidRPr="00C45C9C">
              <w:rPr>
                <w:rFonts w:eastAsia="Times New Roman" w:cs="Calibri"/>
                <w:szCs w:val="20"/>
              </w:rPr>
              <w:t>The College has identified the resources necessary to support the policy, including staff time, any additional staffing and appropriate equipment.</w:t>
            </w:r>
          </w:p>
        </w:tc>
      </w:tr>
      <w:tr w:rsidR="00E73A00" w:rsidRPr="00C45C9C" w14:paraId="17E71A81" w14:textId="77777777" w:rsidTr="00B63E0D">
        <w:trPr>
          <w:trHeight w:val="904"/>
          <w:jc w:val="center"/>
        </w:trPr>
        <w:tc>
          <w:tcPr>
            <w:tcW w:w="8908" w:type="dxa"/>
            <w:vAlign w:val="center"/>
          </w:tcPr>
          <w:p w14:paraId="1552788B" w14:textId="77777777" w:rsidR="00E73A00" w:rsidRPr="00C45C9C" w:rsidRDefault="00E73A00" w:rsidP="00B63E0D">
            <w:pPr>
              <w:widowControl w:val="0"/>
              <w:rPr>
                <w:rFonts w:eastAsia="Times New Roman" w:cs="Calibri"/>
                <w:szCs w:val="20"/>
              </w:rPr>
            </w:pPr>
            <w:r w:rsidRPr="00C45C9C">
              <w:rPr>
                <w:rFonts w:eastAsia="Times New Roman" w:cs="Calibri"/>
                <w:szCs w:val="20"/>
              </w:rPr>
              <w:t xml:space="preserve">Implementation of this policy will not result in any additional meetings/activities that have not been identified within the College calendar, published and revised in consultation with the Unions. </w:t>
            </w:r>
          </w:p>
        </w:tc>
      </w:tr>
      <w:tr w:rsidR="00E73A00" w:rsidRPr="00C45C9C" w14:paraId="029A4A5D" w14:textId="77777777" w:rsidTr="00B63E0D">
        <w:trPr>
          <w:trHeight w:val="904"/>
          <w:jc w:val="center"/>
        </w:trPr>
        <w:tc>
          <w:tcPr>
            <w:tcW w:w="8908" w:type="dxa"/>
            <w:vAlign w:val="center"/>
          </w:tcPr>
          <w:p w14:paraId="17F08E93" w14:textId="77777777" w:rsidR="00E73A00" w:rsidRPr="00C45C9C" w:rsidRDefault="00E73A00" w:rsidP="00B63E0D">
            <w:pPr>
              <w:widowControl w:val="0"/>
              <w:rPr>
                <w:rFonts w:eastAsia="Times New Roman" w:cs="Calibri"/>
                <w:szCs w:val="20"/>
              </w:rPr>
            </w:pPr>
            <w:r w:rsidRPr="00C45C9C">
              <w:rPr>
                <w:rFonts w:eastAsia="Times New Roman" w:cs="Calibri"/>
                <w:szCs w:val="20"/>
              </w:rPr>
              <w:t xml:space="preserve">All staff (including the </w:t>
            </w:r>
            <w:proofErr w:type="spellStart"/>
            <w:r w:rsidRPr="00C45C9C">
              <w:rPr>
                <w:rFonts w:eastAsia="Times New Roman" w:cs="Calibri"/>
                <w:szCs w:val="20"/>
              </w:rPr>
              <w:t>headteacher</w:t>
            </w:r>
            <w:proofErr w:type="spellEnd"/>
            <w:r w:rsidRPr="00C45C9C">
              <w:rPr>
                <w:rFonts w:eastAsia="Times New Roman" w:cs="Calibri"/>
                <w:szCs w:val="20"/>
              </w:rPr>
              <w:t xml:space="preserve">) have had training to ensure that the policy and any related procedures are carried out without increasing workload burdens. </w:t>
            </w:r>
          </w:p>
        </w:tc>
      </w:tr>
      <w:tr w:rsidR="00E73A00" w:rsidRPr="00C45C9C" w14:paraId="11A52E0D" w14:textId="77777777" w:rsidTr="00B63E0D">
        <w:trPr>
          <w:trHeight w:val="904"/>
          <w:jc w:val="center"/>
        </w:trPr>
        <w:tc>
          <w:tcPr>
            <w:tcW w:w="8908" w:type="dxa"/>
            <w:vAlign w:val="center"/>
          </w:tcPr>
          <w:p w14:paraId="742384A9" w14:textId="77777777" w:rsidR="00E73A00" w:rsidRPr="00C45C9C" w:rsidRDefault="00E73A00" w:rsidP="00B63E0D">
            <w:pPr>
              <w:widowControl w:val="0"/>
              <w:rPr>
                <w:rFonts w:eastAsia="Times New Roman" w:cs="Calibri"/>
                <w:szCs w:val="20"/>
              </w:rPr>
            </w:pPr>
            <w:r w:rsidRPr="00C45C9C">
              <w:rPr>
                <w:rFonts w:eastAsia="Times New Roman" w:cs="Calibri"/>
                <w:szCs w:val="20"/>
              </w:rPr>
              <w:t>The policy and related procedures are reviewed regularly to ensure that additional workload burdens have not been added over time.</w:t>
            </w:r>
          </w:p>
        </w:tc>
      </w:tr>
    </w:tbl>
    <w:p w14:paraId="0AC0D5D3" w14:textId="3E470474" w:rsidR="0011394C" w:rsidRPr="002E2AB9" w:rsidRDefault="0011394C" w:rsidP="00E73A00">
      <w:pPr>
        <w:rPr>
          <w:sz w:val="24"/>
          <w:szCs w:val="24"/>
        </w:rPr>
      </w:pPr>
    </w:p>
    <w:sectPr w:rsidR="0011394C" w:rsidRPr="002E2AB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4B376" w14:textId="77777777" w:rsidR="00373196" w:rsidRDefault="00373196" w:rsidP="00373196">
      <w:pPr>
        <w:spacing w:after="0" w:line="240" w:lineRule="auto"/>
      </w:pPr>
      <w:r>
        <w:separator/>
      </w:r>
    </w:p>
  </w:endnote>
  <w:endnote w:type="continuationSeparator" w:id="0">
    <w:p w14:paraId="6BCA1206" w14:textId="77777777" w:rsidR="00373196" w:rsidRDefault="00373196" w:rsidP="00373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AF854" w14:textId="77777777" w:rsidR="00373196" w:rsidRDefault="00373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731CC" w14:textId="77777777" w:rsidR="00373196" w:rsidRDefault="003731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6CA31" w14:textId="77777777" w:rsidR="00373196" w:rsidRDefault="00373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B5B41" w14:textId="77777777" w:rsidR="00373196" w:rsidRDefault="00373196" w:rsidP="00373196">
      <w:pPr>
        <w:spacing w:after="0" w:line="240" w:lineRule="auto"/>
      </w:pPr>
      <w:r>
        <w:separator/>
      </w:r>
    </w:p>
  </w:footnote>
  <w:footnote w:type="continuationSeparator" w:id="0">
    <w:p w14:paraId="37B58532" w14:textId="77777777" w:rsidR="00373196" w:rsidRDefault="00373196" w:rsidP="00373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7B4D7" w14:textId="77777777" w:rsidR="00373196" w:rsidRDefault="00373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D5C1" w14:textId="745CE368" w:rsidR="00373196" w:rsidRDefault="003731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900B3" w14:textId="77777777" w:rsidR="00373196" w:rsidRDefault="00373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3EB5"/>
    <w:multiLevelType w:val="hybridMultilevel"/>
    <w:tmpl w:val="A9E2F62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33B56BD5"/>
    <w:multiLevelType w:val="hybridMultilevel"/>
    <w:tmpl w:val="2B9EC6A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DE3A52"/>
    <w:multiLevelType w:val="hybridMultilevel"/>
    <w:tmpl w:val="55343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C52262"/>
    <w:multiLevelType w:val="hybridMultilevel"/>
    <w:tmpl w:val="7AE410A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C5"/>
    <w:rsid w:val="00067122"/>
    <w:rsid w:val="0011394C"/>
    <w:rsid w:val="0025573B"/>
    <w:rsid w:val="002E2AB9"/>
    <w:rsid w:val="00373196"/>
    <w:rsid w:val="00421AC5"/>
    <w:rsid w:val="004F07CB"/>
    <w:rsid w:val="00543924"/>
    <w:rsid w:val="00554F9C"/>
    <w:rsid w:val="006C3C5F"/>
    <w:rsid w:val="0096663D"/>
    <w:rsid w:val="00A7398E"/>
    <w:rsid w:val="00BE2EEB"/>
    <w:rsid w:val="00E73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169BB6"/>
  <w15:docId w15:val="{4DDD1BD0-AAAC-47AA-9382-7D4CE8C3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AC5"/>
    <w:rPr>
      <w:rFonts w:ascii="Tahoma" w:hAnsi="Tahoma" w:cs="Tahoma"/>
      <w:sz w:val="16"/>
      <w:szCs w:val="16"/>
    </w:rPr>
  </w:style>
  <w:style w:type="paragraph" w:styleId="ListParagraph">
    <w:name w:val="List Paragraph"/>
    <w:basedOn w:val="Normal"/>
    <w:uiPriority w:val="34"/>
    <w:qFormat/>
    <w:rsid w:val="00421AC5"/>
    <w:pPr>
      <w:ind w:left="720"/>
      <w:contextualSpacing/>
    </w:pPr>
  </w:style>
  <w:style w:type="paragraph" w:styleId="NormalWeb">
    <w:name w:val="Normal (Web)"/>
    <w:basedOn w:val="Normal"/>
    <w:uiPriority w:val="99"/>
    <w:unhideWhenUsed/>
    <w:rsid w:val="0006712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3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196"/>
  </w:style>
  <w:style w:type="paragraph" w:styleId="Footer">
    <w:name w:val="footer"/>
    <w:basedOn w:val="Normal"/>
    <w:link w:val="FooterChar"/>
    <w:uiPriority w:val="99"/>
    <w:unhideWhenUsed/>
    <w:rsid w:val="00373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196"/>
  </w:style>
  <w:style w:type="table" w:styleId="TableGrid">
    <w:name w:val="Table Grid"/>
    <w:basedOn w:val="TableNormal"/>
    <w:uiPriority w:val="39"/>
    <w:rsid w:val="006C3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71392">
      <w:bodyDiv w:val="1"/>
      <w:marLeft w:val="0"/>
      <w:marRight w:val="0"/>
      <w:marTop w:val="0"/>
      <w:marBottom w:val="0"/>
      <w:divBdr>
        <w:top w:val="none" w:sz="0" w:space="0" w:color="auto"/>
        <w:left w:val="none" w:sz="0" w:space="0" w:color="auto"/>
        <w:bottom w:val="none" w:sz="0" w:space="0" w:color="auto"/>
        <w:right w:val="none" w:sz="0" w:space="0" w:color="auto"/>
      </w:divBdr>
      <w:divsChild>
        <w:div w:id="256058606">
          <w:marLeft w:val="0"/>
          <w:marRight w:val="0"/>
          <w:marTop w:val="0"/>
          <w:marBottom w:val="0"/>
          <w:divBdr>
            <w:top w:val="none" w:sz="0" w:space="0" w:color="auto"/>
            <w:left w:val="none" w:sz="0" w:space="0" w:color="auto"/>
            <w:bottom w:val="none" w:sz="0" w:space="0" w:color="auto"/>
            <w:right w:val="none" w:sz="0" w:space="0" w:color="auto"/>
          </w:divBdr>
          <w:divsChild>
            <w:div w:id="1627616595">
              <w:marLeft w:val="0"/>
              <w:marRight w:val="0"/>
              <w:marTop w:val="0"/>
              <w:marBottom w:val="0"/>
              <w:divBdr>
                <w:top w:val="none" w:sz="0" w:space="0" w:color="auto"/>
                <w:left w:val="none" w:sz="0" w:space="0" w:color="auto"/>
                <w:bottom w:val="none" w:sz="0" w:space="0" w:color="auto"/>
                <w:right w:val="none" w:sz="0" w:space="0" w:color="auto"/>
              </w:divBdr>
              <w:divsChild>
                <w:div w:id="8952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D0B9E-48C8-4FA1-A223-8E481784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Tonypandy Community College</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Thomas</dc:creator>
  <cp:lastModifiedBy>Emma Beasley</cp:lastModifiedBy>
  <cp:revision>4</cp:revision>
  <cp:lastPrinted>2019-03-18T11:18:00Z</cp:lastPrinted>
  <dcterms:created xsi:type="dcterms:W3CDTF">2019-03-18T11:19:00Z</dcterms:created>
  <dcterms:modified xsi:type="dcterms:W3CDTF">2019-08-14T10:26:00Z</dcterms:modified>
</cp:coreProperties>
</file>